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90" w:lineRule="exact"/>
        <w:rPr>
          <w:sz w:val="24"/>
          <w:szCs w:val="24"/>
          <w:color w:val="auto"/>
        </w:rPr>
      </w:pPr>
    </w:p>
    <w:p>
      <w:pPr>
        <w:ind w:left="2920" w:right="240" w:hanging="2677"/>
        <w:spacing w:after="0" w:line="327" w:lineRule="auto"/>
        <w:tabs>
          <w:tab w:leader="none" w:pos="5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29" w:lineRule="exact"/>
        <w:rPr>
          <w:rFonts w:ascii="MS PGothic" w:cs="MS PGothic" w:eastAsia="MS PGothic" w:hAnsi="MS PGothic"/>
          <w:sz w:val="18"/>
          <w:szCs w:val="18"/>
          <w:color w:val="auto"/>
        </w:rPr>
      </w:pPr>
    </w:p>
    <w:p>
      <w:pPr>
        <w:ind w:left="540" w:hanging="30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jc w:val="center"/>
        <w:spacing w:after="0"/>
        <w:tabs>
          <w:tab w:leader="none" w:pos="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001-38302</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NRX PHARMACEUTICALS,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b w:val="1"/>
                <w:bCs w:val="1"/>
                <w:color w:val="auto"/>
                <w:w w:val="93"/>
              </w:rPr>
              <w:t>Delaware</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tcPr>
          <w:p>
            <w:pPr>
              <w:jc w:val="right"/>
              <w:ind w:right="1870"/>
              <w:spacing w:after="0"/>
              <w:rPr>
                <w:sz w:val="20"/>
                <w:szCs w:val="20"/>
                <w:color w:val="auto"/>
              </w:rPr>
            </w:pPr>
            <w:r>
              <w:rPr>
                <w:rFonts w:ascii="Arial" w:cs="Arial" w:eastAsia="Arial" w:hAnsi="Arial"/>
                <w:sz w:val="18"/>
                <w:szCs w:val="18"/>
                <w:b w:val="1"/>
                <w:bCs w:val="1"/>
                <w:color w:val="auto"/>
              </w:rPr>
              <w:t>82-2844431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3"/>
              </w:rPr>
              <w:t>(State or other jurisdiction of</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20" w:type="dxa"/>
            <w:vAlign w:val="bottom"/>
          </w:tcPr>
          <w:p>
            <w:pPr>
              <w:jc w:val="center"/>
              <w:ind w:right="99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3"/>
              </w:rPr>
              <w:t>incorporation or organization)</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20" w:type="dxa"/>
            <w:vAlign w:val="bottom"/>
            <w:vMerge w:val="restart"/>
          </w:tcPr>
          <w:p>
            <w:pPr>
              <w:ind w:left="660"/>
              <w:spacing w:after="0"/>
              <w:rPr>
                <w:sz w:val="20"/>
                <w:szCs w:val="20"/>
                <w:color w:val="auto"/>
              </w:rPr>
            </w:pPr>
            <w:r>
              <w:rPr>
                <w:rFonts w:ascii="Arial" w:cs="Arial" w:eastAsia="Arial" w:hAnsi="Arial"/>
                <w:sz w:val="18"/>
                <w:szCs w:val="18"/>
                <w:color w:val="auto"/>
              </w:rPr>
              <w:t>Identification No.)</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0"/>
              </w:rPr>
              <w:t>1201 Orange Street, Suite 600</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3"/>
              </w:rPr>
              <w:t>Wilmington, DE 19801</w:t>
            </w: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00" w:type="dxa"/>
            <w:vAlign w:val="bottom"/>
            <w:gridSpan w:val="7"/>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16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0"/>
              </w:rPr>
              <w:t>(484) 254-6134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00" w:type="dxa"/>
            <w:vAlign w:val="bottom"/>
            <w:gridSpan w:val="7"/>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338"/>
        </w:trPr>
        <w:tc>
          <w:tcPr>
            <w:tcW w:w="620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372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Title of each class: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Trading Symbol(s)</w:t>
            </w:r>
          </w:p>
        </w:tc>
        <w:tc>
          <w:tcPr>
            <w:tcW w:w="3720" w:type="dxa"/>
            <w:vAlign w:val="bottom"/>
          </w:tcPr>
          <w:p>
            <w:pPr>
              <w:ind w:left="80"/>
              <w:spacing w:after="0"/>
              <w:rPr>
                <w:sz w:val="20"/>
                <w:szCs w:val="20"/>
                <w:color w:val="auto"/>
              </w:rPr>
            </w:pPr>
            <w:r>
              <w:rPr>
                <w:rFonts w:ascii="Arial" w:cs="Arial" w:eastAsia="Arial" w:hAnsi="Arial"/>
                <w:sz w:val="18"/>
                <w:szCs w:val="18"/>
                <w:b w:val="1"/>
                <w:bCs w:val="1"/>
                <w:color w:val="auto"/>
                <w:w w:val="93"/>
              </w:rPr>
              <w:t>Name of each exchange on which registered:</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720" w:type="dxa"/>
            <w:vAlign w:val="bottom"/>
          </w:tcPr>
          <w:p>
            <w:pPr>
              <w:jc w:val="center"/>
              <w:ind w:left="230"/>
              <w:spacing w:after="0"/>
              <w:rPr>
                <w:sz w:val="20"/>
                <w:szCs w:val="20"/>
                <w:color w:val="auto"/>
              </w:rPr>
            </w:pPr>
            <w:r>
              <w:rPr>
                <w:rFonts w:ascii="Arial" w:cs="Arial" w:eastAsia="Arial" w:hAnsi="Arial"/>
                <w:sz w:val="18"/>
                <w:szCs w:val="18"/>
                <w:color w:val="auto"/>
                <w:w w:val="89"/>
              </w:rPr>
              <w:t>Common Stock, par value $0.001 per share</w:t>
            </w:r>
          </w:p>
        </w:tc>
        <w:tc>
          <w:tcPr>
            <w:tcW w:w="34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5"/>
              </w:rPr>
              <w:t>NRXP</w:t>
            </w:r>
          </w:p>
        </w:tc>
        <w:tc>
          <w:tcPr>
            <w:tcW w:w="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ind w:left="660"/>
              <w:spacing w:after="0"/>
              <w:rPr>
                <w:sz w:val="20"/>
                <w:szCs w:val="20"/>
                <w:color w:val="auto"/>
              </w:rPr>
            </w:pPr>
            <w:r>
              <w:rPr>
                <w:rFonts w:ascii="Arial" w:cs="Arial" w:eastAsia="Arial" w:hAnsi="Arial"/>
                <w:sz w:val="18"/>
                <w:szCs w:val="18"/>
                <w:color w:val="auto"/>
              </w:rPr>
              <w:t>The Nasdaq Stock Market LLC</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20" w:type="dxa"/>
            <w:vAlign w:val="bottom"/>
          </w:tcPr>
          <w:p>
            <w:pPr>
              <w:ind w:left="40"/>
              <w:spacing w:after="0"/>
              <w:rPr>
                <w:sz w:val="20"/>
                <w:szCs w:val="20"/>
                <w:color w:val="auto"/>
              </w:rPr>
            </w:pPr>
            <w:r>
              <w:rPr>
                <w:rFonts w:ascii="Arial" w:cs="Arial" w:eastAsia="Arial" w:hAnsi="Arial"/>
                <w:sz w:val="18"/>
                <w:szCs w:val="18"/>
                <w:color w:val="auto"/>
                <w:w w:val="90"/>
              </w:rPr>
              <w:t>Warrants to purchase one share of Common Stock</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3"/>
          </w:tcPr>
          <w:p>
            <w:pPr>
              <w:jc w:val="center"/>
              <w:ind w:right="300"/>
              <w:spacing w:after="0"/>
              <w:rPr>
                <w:sz w:val="20"/>
                <w:szCs w:val="20"/>
                <w:color w:val="auto"/>
              </w:rPr>
            </w:pPr>
            <w:r>
              <w:rPr>
                <w:rFonts w:ascii="Arial" w:cs="Arial" w:eastAsia="Arial" w:hAnsi="Arial"/>
                <w:sz w:val="18"/>
                <w:szCs w:val="18"/>
                <w:color w:val="auto"/>
                <w:w w:val="98"/>
              </w:rPr>
              <w:t>NRXPW</w:t>
            </w:r>
          </w:p>
        </w:tc>
        <w:tc>
          <w:tcPr>
            <w:tcW w:w="3720" w:type="dxa"/>
            <w:vAlign w:val="bottom"/>
          </w:tcPr>
          <w:p>
            <w:pPr>
              <w:ind w:left="660"/>
              <w:spacing w:after="0"/>
              <w:rPr>
                <w:sz w:val="20"/>
                <w:szCs w:val="20"/>
                <w:color w:val="auto"/>
              </w:rPr>
            </w:pPr>
            <w:r>
              <w:rPr>
                <w:rFonts w:ascii="Arial" w:cs="Arial" w:eastAsia="Arial" w:hAnsi="Arial"/>
                <w:sz w:val="18"/>
                <w:szCs w:val="18"/>
                <w:color w:val="auto"/>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23" w:lineRule="exact"/>
        <w:rPr>
          <w:sz w:val="24"/>
          <w:szCs w:val="24"/>
          <w:color w:val="auto"/>
        </w:rPr>
      </w:pPr>
    </w:p>
    <w:p>
      <w:pPr>
        <w:ind w:left="11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000" w:space="720"/>
            <w:col w:w="3200"/>
          </w:cols>
          <w:pgMar w:left="980" w:top="665" w:right="999" w:bottom="1440" w:gutter="0" w:footer="0" w:header="0"/>
          <w:type w:val="continuous"/>
        </w:sectPr>
      </w:pPr>
    </w:p>
    <w:p>
      <w:pPr>
        <w:spacing w:after="0" w:line="44" w:lineRule="exact"/>
        <w:rPr>
          <w:sz w:val="24"/>
          <w:szCs w:val="24"/>
          <w:color w:val="auto"/>
        </w:rPr>
      </w:pPr>
    </w:p>
    <w:p>
      <w:pPr>
        <w:ind w:left="636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ectPr>
          <w:pgSz w:w="11900" w:h="16838" w:orient="portrait"/>
          <w:cols w:equalWidth="0" w:num="1">
            <w:col w:w="9920"/>
          </w:cols>
          <w:pgMar w:left="980" w:top="665" w:right="999" w:bottom="1440" w:gutter="0" w:footer="0" w:header="0"/>
          <w:type w:val="continuous"/>
        </w:sectPr>
      </w:pPr>
    </w:p>
    <w:p>
      <w:pPr>
        <w:spacing w:after="0" w:line="244" w:lineRule="exact"/>
        <w:rPr>
          <w:sz w:val="24"/>
          <w:szCs w:val="24"/>
          <w:color w:val="auto"/>
        </w:rPr>
      </w:pPr>
    </w:p>
    <w:p>
      <w:pPr>
        <w:ind w:left="118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8" w:lineRule="exact"/>
        <w:rPr>
          <w:sz w:val="24"/>
          <w:szCs w:val="24"/>
          <w:color w:val="auto"/>
        </w:rPr>
      </w:pPr>
    </w:p>
    <w:p>
      <w:pPr>
        <w:sectPr>
          <w:pgSz w:w="11900" w:h="16838" w:orient="portrait"/>
          <w:cols w:equalWidth="0" w:num="2">
            <w:col w:w="5640" w:space="720"/>
            <w:col w:w="3560"/>
          </w:cols>
          <w:pgMar w:left="980" w:top="665" w:right="999" w:bottom="1440" w:gutter="0" w:footer="0" w:header="0"/>
          <w:type w:val="continuous"/>
        </w:sect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 w:lineRule="exact"/>
        <w:rPr>
          <w:sz w:val="24"/>
          <w:szCs w:val="24"/>
          <w:color w:val="auto"/>
        </w:rPr>
      </w:pPr>
    </w:p>
    <w:p>
      <w:pPr>
        <w:ind w:left="660" w:right="6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13, 2022, the registrant had 67,641,314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472440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52070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95250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jc w:val="right"/>
              <w:ind w:right="9"/>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
        </w:trPr>
        <w:tc>
          <w:tcPr>
            <w:tcW w:w="3140" w:type="dxa"/>
            <w:vAlign w:val="bottom"/>
            <w:gridSpan w:val="12"/>
            <w:vMerge w:val="restart"/>
          </w:tcPr>
          <w:p>
            <w:pPr>
              <w:spacing w:after="0"/>
              <w:rPr>
                <w:sz w:val="20"/>
                <w:szCs w:val="20"/>
                <w:color w:val="auto"/>
              </w:rPr>
            </w:pPr>
            <w:r>
              <w:rPr>
                <w:rFonts w:ascii="Arial" w:cs="Arial" w:eastAsia="Arial" w:hAnsi="Arial"/>
                <w:sz w:val="18"/>
                <w:szCs w:val="18"/>
                <w:b w:val="1"/>
                <w:bCs w:val="1"/>
                <w:color w:val="0000EE"/>
              </w:rPr>
              <w:t>PART I - FINANCIAL INFORMATION</w:t>
            </w:r>
          </w:p>
        </w:tc>
        <w:tc>
          <w:tcPr>
            <w:tcW w:w="6160" w:type="dxa"/>
            <w:vAlign w:val="bottom"/>
            <w:gridSpan w:val="11"/>
            <w:vMerge w:val="restart"/>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140" w:type="dxa"/>
            <w:vAlign w:val="bottom"/>
            <w:tcBorders>
              <w:bottom w:val="single" w:sz="8" w:color="0000EE"/>
            </w:tcBorders>
            <w:gridSpan w:val="12"/>
            <w:vMerge w:val="continue"/>
          </w:tcPr>
          <w:p>
            <w:pPr>
              <w:spacing w:after="0"/>
              <w:rPr>
                <w:sz w:val="15"/>
                <w:szCs w:val="15"/>
                <w:color w:val="auto"/>
              </w:rPr>
            </w:pPr>
          </w:p>
        </w:tc>
        <w:tc>
          <w:tcPr>
            <w:tcW w:w="6160" w:type="dxa"/>
            <w:vAlign w:val="bottom"/>
            <w:gridSpan w:val="11"/>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8"/>
                <w:szCs w:val="18"/>
                <w:b w:val="1"/>
                <w:bCs w:val="1"/>
                <w:color w:val="0000EE"/>
              </w:rPr>
              <w:t>ITEM 1.</w:t>
            </w:r>
          </w:p>
        </w:tc>
        <w:tc>
          <w:tcPr>
            <w:tcW w:w="8220" w:type="dxa"/>
            <w:vAlign w:val="bottom"/>
            <w:gridSpan w:val="19"/>
          </w:tcPr>
          <w:p>
            <w:pPr>
              <w:spacing w:after="0"/>
              <w:rPr>
                <w:sz w:val="20"/>
                <w:szCs w:val="20"/>
                <w:color w:val="auto"/>
              </w:rPr>
            </w:pPr>
            <w:r>
              <w:rPr>
                <w:rFonts w:ascii="Arial" w:cs="Arial" w:eastAsia="Arial" w:hAnsi="Arial"/>
                <w:sz w:val="18"/>
                <w:szCs w:val="18"/>
                <w:color w:val="0000EE"/>
              </w:rPr>
              <w:t>Financial Statements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40" w:type="dxa"/>
            <w:vAlign w:val="bottom"/>
            <w:gridSpan w:val="12"/>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20" w:type="dxa"/>
            <w:vAlign w:val="bottom"/>
            <w:gridSpan w:val="19"/>
          </w:tcPr>
          <w:p>
            <w:pPr>
              <w:spacing w:after="0"/>
              <w:rPr>
                <w:sz w:val="20"/>
                <w:szCs w:val="20"/>
                <w:color w:val="auto"/>
              </w:rPr>
            </w:pPr>
            <w:r>
              <w:rPr>
                <w:rFonts w:ascii="Arial" w:cs="Arial" w:eastAsia="Arial" w:hAnsi="Arial"/>
                <w:sz w:val="18"/>
                <w:szCs w:val="18"/>
                <w:color w:val="0000EE"/>
                <w:w w:val="97"/>
              </w:rPr>
              <w:t>Condensed Consolidated Balance Sheets as of September 30, 2022 (Unaudited) and December 31, 2021</w:t>
            </w: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20" w:type="dxa"/>
            <w:vAlign w:val="bottom"/>
            <w:gridSpan w:val="19"/>
          </w:tcPr>
          <w:p>
            <w:pPr>
              <w:spacing w:after="0"/>
              <w:rPr>
                <w:sz w:val="20"/>
                <w:szCs w:val="20"/>
                <w:color w:val="auto"/>
              </w:rPr>
            </w:pPr>
            <w:r>
              <w:rPr>
                <w:rFonts w:ascii="Arial" w:cs="Arial" w:eastAsia="Arial" w:hAnsi="Arial"/>
                <w:sz w:val="18"/>
                <w:szCs w:val="18"/>
                <w:color w:val="0000EE"/>
                <w:w w:val="89"/>
              </w:rPr>
              <w:t>Unaudited Condensed Consolidated Statements of Operations for the three and nine months ended September 30,</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16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2022 and 2021</w:t>
            </w:r>
          </w:p>
        </w:tc>
        <w:tc>
          <w:tcPr>
            <w:tcW w:w="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2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0"/>
              </w:rPr>
              <w:t>Unaudited Condensed Consolidated Statements of Changes in Stockholders' Equity (Deficit) for the nine months</w:t>
            </w:r>
          </w:p>
        </w:tc>
        <w:tc>
          <w:tcPr>
            <w:tcW w:w="100" w:type="dxa"/>
            <w:vAlign w:val="bottom"/>
            <w:gridSpan w:val="2"/>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20" w:type="dxa"/>
            <w:vAlign w:val="bottom"/>
            <w:gridSpan w:val="19"/>
          </w:tcPr>
          <w:p>
            <w:pPr>
              <w:spacing w:after="0" w:line="196" w:lineRule="exact"/>
              <w:rPr>
                <w:sz w:val="20"/>
                <w:szCs w:val="20"/>
                <w:color w:val="auto"/>
              </w:rPr>
            </w:pPr>
            <w:r>
              <w:rPr>
                <w:rFonts w:ascii="Arial" w:cs="Arial" w:eastAsia="Arial" w:hAnsi="Arial"/>
                <w:sz w:val="18"/>
                <w:szCs w:val="18"/>
                <w:color w:val="0000EE"/>
              </w:rPr>
              <w:t>ended September 30, 2022 and 2021</w:t>
            </w: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9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9"/>
              </w:rPr>
              <w:t>Unaudited Condensed Consolidated Statements of Cash Flows for the nine months ended September 30, 2022</w:t>
            </w:r>
          </w:p>
        </w:tc>
        <w:tc>
          <w:tcPr>
            <w:tcW w:w="300" w:type="dxa"/>
            <w:vAlign w:val="bottom"/>
            <w:gridSpan w:val="3"/>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20" w:type="dxa"/>
            <w:vAlign w:val="bottom"/>
            <w:gridSpan w:val="19"/>
          </w:tcPr>
          <w:p>
            <w:pPr>
              <w:spacing w:after="0" w:line="196" w:lineRule="exact"/>
              <w:rPr>
                <w:sz w:val="20"/>
                <w:szCs w:val="20"/>
                <w:color w:val="auto"/>
              </w:rPr>
            </w:pPr>
            <w:r>
              <w:rPr>
                <w:rFonts w:ascii="Arial" w:cs="Arial" w:eastAsia="Arial" w:hAnsi="Arial"/>
                <w:sz w:val="18"/>
                <w:szCs w:val="18"/>
                <w:color w:val="0000EE"/>
              </w:rPr>
              <w:t>and 2021</w:t>
            </w: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20" w:type="dxa"/>
            <w:vAlign w:val="bottom"/>
            <w:gridSpan w:val="19"/>
          </w:tcPr>
          <w:p>
            <w:pPr>
              <w:spacing w:after="0"/>
              <w:rPr>
                <w:sz w:val="20"/>
                <w:szCs w:val="20"/>
                <w:color w:val="auto"/>
              </w:rPr>
            </w:pPr>
            <w:r>
              <w:rPr>
                <w:rFonts w:ascii="Arial" w:cs="Arial" w:eastAsia="Arial" w:hAnsi="Arial"/>
                <w:sz w:val="18"/>
                <w:szCs w:val="18"/>
                <w:color w:val="0000EE"/>
              </w:rPr>
              <w:t>Notes to Unaudited Condensed Consolidated Financial Statements</w:t>
            </w: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gridSpan w:val="2"/>
            <w:vMerge w:val="restart"/>
          </w:tcPr>
          <w:p>
            <w:pPr>
              <w:spacing w:after="0"/>
              <w:rPr>
                <w:sz w:val="20"/>
                <w:szCs w:val="20"/>
                <w:color w:val="auto"/>
              </w:rPr>
            </w:pPr>
            <w:r>
              <w:rPr>
                <w:rFonts w:ascii="Arial" w:cs="Arial" w:eastAsia="Arial" w:hAnsi="Arial"/>
                <w:sz w:val="18"/>
                <w:szCs w:val="18"/>
                <w:b w:val="1"/>
                <w:bCs w:val="1"/>
                <w:color w:val="0000EE"/>
              </w:rPr>
              <w:t>ITEM 2.</w:t>
            </w:r>
          </w:p>
        </w:tc>
        <w:tc>
          <w:tcPr>
            <w:tcW w:w="400" w:type="dxa"/>
            <w:vAlign w:val="bottom"/>
            <w:gridSpan w:val="2"/>
            <w:vMerge w:val="restart"/>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line="20" w:lineRule="exact"/>
              <w:rPr>
                <w:sz w:val="1"/>
                <w:szCs w:val="1"/>
                <w:color w:val="auto"/>
              </w:rPr>
            </w:pPr>
          </w:p>
        </w:tc>
      </w:tr>
      <w:tr>
        <w:trPr>
          <w:trHeight w:val="223"/>
        </w:trPr>
        <w:tc>
          <w:tcPr>
            <w:tcW w:w="680" w:type="dxa"/>
            <w:vAlign w:val="bottom"/>
            <w:tcBorders>
              <w:bottom w:val="single" w:sz="8" w:color="0000EE"/>
            </w:tcBorders>
            <w:gridSpan w:val="2"/>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64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760" w:type="dxa"/>
            <w:vAlign w:val="bottom"/>
            <w:gridSpan w:val="5"/>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rPr>
              <w:t>ITEM 3.</w:t>
            </w:r>
          </w:p>
        </w:tc>
        <w:tc>
          <w:tcPr>
            <w:tcW w:w="400" w:type="dxa"/>
            <w:vAlign w:val="bottom"/>
            <w:gridSpan w:val="2"/>
          </w:tcPr>
          <w:p>
            <w:pPr>
              <w:spacing w:after="0"/>
              <w:rPr>
                <w:sz w:val="19"/>
                <w:szCs w:val="19"/>
                <w:color w:val="auto"/>
              </w:rPr>
            </w:pPr>
          </w:p>
        </w:tc>
        <w:tc>
          <w:tcPr>
            <w:tcW w:w="43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3860" w:type="dxa"/>
            <w:vAlign w:val="bottom"/>
            <w:gridSpan w:val="7"/>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23"/>
        </w:trPr>
        <w:tc>
          <w:tcPr>
            <w:tcW w:w="1080" w:type="dxa"/>
            <w:vAlign w:val="bottom"/>
            <w:gridSpan w:val="4"/>
          </w:tcPr>
          <w:p>
            <w:pPr>
              <w:spacing w:after="0"/>
              <w:rPr>
                <w:sz w:val="20"/>
                <w:szCs w:val="20"/>
                <w:color w:val="auto"/>
              </w:rPr>
            </w:pPr>
            <w:r>
              <w:rPr>
                <w:rFonts w:ascii="Arial" w:cs="Arial" w:eastAsia="Arial" w:hAnsi="Arial"/>
                <w:sz w:val="18"/>
                <w:szCs w:val="18"/>
                <w:b w:val="1"/>
                <w:bCs w:val="1"/>
                <w:color w:val="0000EE"/>
              </w:rPr>
              <w:t>ITEM 4.</w:t>
            </w:r>
          </w:p>
        </w:tc>
        <w:tc>
          <w:tcPr>
            <w:tcW w:w="8220" w:type="dxa"/>
            <w:vAlign w:val="bottom"/>
            <w:gridSpan w:val="19"/>
          </w:tcPr>
          <w:p>
            <w:pPr>
              <w:spacing w:after="0"/>
              <w:rPr>
                <w:sz w:val="20"/>
                <w:szCs w:val="20"/>
                <w:color w:val="auto"/>
              </w:rPr>
            </w:pPr>
            <w:r>
              <w:rPr>
                <w:rFonts w:ascii="Arial" w:cs="Arial" w:eastAsia="Arial" w:hAnsi="Arial"/>
                <w:sz w:val="18"/>
                <w:szCs w:val="18"/>
                <w:color w:val="0000EE"/>
              </w:rPr>
              <w:t>Controls and Procedures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8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0000EE"/>
              </w:rPr>
              <w:t>PART II - OTHER INFORMATION</w:t>
            </w:r>
          </w:p>
        </w:tc>
        <w:tc>
          <w:tcPr>
            <w:tcW w:w="6440" w:type="dxa"/>
            <w:vAlign w:val="bottom"/>
            <w:gridSpan w:val="12"/>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EE"/>
              </w:rPr>
              <w:t>ITEM 1.</w:t>
            </w:r>
          </w:p>
        </w:tc>
        <w:tc>
          <w:tcPr>
            <w:tcW w:w="400" w:type="dxa"/>
            <w:vAlign w:val="bottom"/>
            <w:gridSpan w:val="2"/>
          </w:tcPr>
          <w:p>
            <w:pPr>
              <w:spacing w:after="0"/>
              <w:rPr>
                <w:sz w:val="24"/>
                <w:szCs w:val="24"/>
                <w:color w:val="auto"/>
              </w:rPr>
            </w:pPr>
          </w:p>
        </w:tc>
        <w:tc>
          <w:tcPr>
            <w:tcW w:w="8220" w:type="dxa"/>
            <w:vAlign w:val="bottom"/>
            <w:gridSpan w:val="19"/>
          </w:tcPr>
          <w:p>
            <w:pPr>
              <w:spacing w:after="0"/>
              <w:rPr>
                <w:sz w:val="20"/>
                <w:szCs w:val="20"/>
                <w:color w:val="auto"/>
              </w:rPr>
            </w:pPr>
            <w:r>
              <w:rPr>
                <w:rFonts w:ascii="Arial" w:cs="Arial" w:eastAsia="Arial" w:hAnsi="Arial"/>
                <w:sz w:val="18"/>
                <w:szCs w:val="18"/>
                <w:color w:val="0000EE"/>
              </w:rPr>
              <w:t>Legal Proceedings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gridSpan w:val="3"/>
          </w:tcPr>
          <w:p>
            <w:pPr>
              <w:spacing w:after="0"/>
              <w:rPr>
                <w:sz w:val="20"/>
                <w:szCs w:val="20"/>
                <w:color w:val="auto"/>
              </w:rPr>
            </w:pPr>
            <w:r>
              <w:rPr>
                <w:rFonts w:ascii="Arial" w:cs="Arial" w:eastAsia="Arial" w:hAnsi="Arial"/>
                <w:sz w:val="18"/>
                <w:szCs w:val="18"/>
                <w:b w:val="1"/>
                <w:bCs w:val="1"/>
                <w:color w:val="0000EE"/>
              </w:rPr>
              <w:t>ITEM 1A.</w:t>
            </w:r>
          </w:p>
        </w:tc>
        <w:tc>
          <w:tcPr>
            <w:tcW w:w="280" w:type="dxa"/>
            <w:vAlign w:val="bottom"/>
          </w:tcPr>
          <w:p>
            <w:pPr>
              <w:spacing w:after="0"/>
              <w:rPr>
                <w:sz w:val="19"/>
                <w:szCs w:val="19"/>
                <w:color w:val="auto"/>
              </w:rPr>
            </w:pPr>
          </w:p>
        </w:tc>
        <w:tc>
          <w:tcPr>
            <w:tcW w:w="8220" w:type="dxa"/>
            <w:vAlign w:val="bottom"/>
            <w:gridSpan w:val="19"/>
          </w:tcPr>
          <w:p>
            <w:pPr>
              <w:spacing w:after="0"/>
              <w:rPr>
                <w:sz w:val="20"/>
                <w:szCs w:val="20"/>
                <w:color w:val="auto"/>
              </w:rPr>
            </w:pPr>
            <w:r>
              <w:rPr>
                <w:rFonts w:ascii="Arial" w:cs="Arial" w:eastAsia="Arial" w:hAnsi="Arial"/>
                <w:sz w:val="18"/>
                <w:szCs w:val="18"/>
                <w:color w:val="0000EE"/>
              </w:rPr>
              <w:t>Risk Factors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0"/>
        </w:trPr>
        <w:tc>
          <w:tcPr>
            <w:tcW w:w="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EE"/>
              </w:rPr>
              <w:t>ITEM 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20" w:type="dxa"/>
            <w:vAlign w:val="bottom"/>
            <w:gridSpan w:val="19"/>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23"/>
        </w:trPr>
        <w:tc>
          <w:tcPr>
            <w:tcW w:w="6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b w:val="1"/>
                <w:bCs w:val="1"/>
                <w:color w:val="0000EE"/>
              </w:rPr>
              <w:t>ITEM 3.</w:t>
            </w:r>
          </w:p>
        </w:tc>
        <w:tc>
          <w:tcPr>
            <w:tcW w:w="400" w:type="dxa"/>
            <w:vAlign w:val="bottom"/>
            <w:gridSpan w:val="2"/>
          </w:tcPr>
          <w:p>
            <w:pPr>
              <w:spacing w:after="0"/>
              <w:rPr>
                <w:sz w:val="19"/>
                <w:szCs w:val="19"/>
                <w:color w:val="auto"/>
              </w:rPr>
            </w:pPr>
          </w:p>
        </w:tc>
        <w:tc>
          <w:tcPr>
            <w:tcW w:w="23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0"/>
              </w:rPr>
              <w:t>Defaults Upon Senior Securities</w:t>
            </w:r>
          </w:p>
        </w:tc>
        <w:tc>
          <w:tcPr>
            <w:tcW w:w="2020" w:type="dxa"/>
            <w:vAlign w:val="bottom"/>
            <w:tcBorders>
              <w:top w:val="single" w:sz="8" w:color="0000EE"/>
            </w:tcBorders>
            <w:gridSpan w:val="2"/>
          </w:tcPr>
          <w:p>
            <w:pPr>
              <w:spacing w:after="0"/>
              <w:rPr>
                <w:sz w:val="19"/>
                <w:szCs w:val="19"/>
                <w:color w:val="auto"/>
              </w:rPr>
            </w:pPr>
          </w:p>
        </w:tc>
        <w:tc>
          <w:tcPr>
            <w:tcW w:w="3880" w:type="dxa"/>
            <w:vAlign w:val="bottom"/>
            <w:gridSpan w:val="8"/>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23"/>
        </w:trPr>
        <w:tc>
          <w:tcPr>
            <w:tcW w:w="6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rPr>
              <w:t>ITEM 4.</w:t>
            </w:r>
          </w:p>
        </w:tc>
        <w:tc>
          <w:tcPr>
            <w:tcW w:w="400" w:type="dxa"/>
            <w:vAlign w:val="bottom"/>
            <w:gridSpan w:val="2"/>
          </w:tcPr>
          <w:p>
            <w:pPr>
              <w:spacing w:after="0"/>
              <w:rPr>
                <w:sz w:val="19"/>
                <w:szCs w:val="19"/>
                <w:color w:val="auto"/>
              </w:rPr>
            </w:pPr>
          </w:p>
        </w:tc>
        <w:tc>
          <w:tcPr>
            <w:tcW w:w="17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Mine Safety Disclosures</w:t>
            </w:r>
          </w:p>
        </w:tc>
        <w:tc>
          <w:tcPr>
            <w:tcW w:w="6440" w:type="dxa"/>
            <w:vAlign w:val="bottom"/>
            <w:gridSpan w:val="12"/>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23"/>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EE"/>
              </w:rPr>
              <w:t>ITEM 5.</w:t>
            </w:r>
          </w:p>
        </w:tc>
        <w:tc>
          <w:tcPr>
            <w:tcW w:w="400" w:type="dxa"/>
            <w:vAlign w:val="bottom"/>
            <w:gridSpan w:val="2"/>
          </w:tcPr>
          <w:p>
            <w:pPr>
              <w:spacing w:after="0"/>
              <w:rPr>
                <w:sz w:val="19"/>
                <w:szCs w:val="19"/>
                <w:color w:val="auto"/>
              </w:rPr>
            </w:pPr>
          </w:p>
        </w:tc>
        <w:tc>
          <w:tcPr>
            <w:tcW w:w="8220" w:type="dxa"/>
            <w:vAlign w:val="bottom"/>
            <w:gridSpan w:val="19"/>
          </w:tcPr>
          <w:p>
            <w:pPr>
              <w:spacing w:after="0"/>
              <w:rPr>
                <w:sz w:val="20"/>
                <w:szCs w:val="20"/>
                <w:color w:val="auto"/>
              </w:rPr>
            </w:pPr>
            <w:r>
              <w:rPr>
                <w:rFonts w:ascii="Arial" w:cs="Arial" w:eastAsia="Arial" w:hAnsi="Arial"/>
                <w:sz w:val="18"/>
                <w:szCs w:val="18"/>
                <w:color w:val="0000EE"/>
              </w:rPr>
              <w:t>Other Information</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23"/>
        </w:trPr>
        <w:tc>
          <w:tcPr>
            <w:tcW w:w="6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b w:val="1"/>
                <w:bCs w:val="1"/>
                <w:color w:val="0000EE"/>
              </w:rPr>
              <w:t>ITEM 6.</w:t>
            </w:r>
          </w:p>
        </w:tc>
        <w:tc>
          <w:tcPr>
            <w:tcW w:w="400" w:type="dxa"/>
            <w:vAlign w:val="bottom"/>
            <w:gridSpan w:val="2"/>
          </w:tcPr>
          <w:p>
            <w:pPr>
              <w:spacing w:after="0"/>
              <w:rPr>
                <w:sz w:val="19"/>
                <w:szCs w:val="19"/>
                <w:color w:val="auto"/>
              </w:rPr>
            </w:pPr>
          </w:p>
        </w:tc>
        <w:tc>
          <w:tcPr>
            <w:tcW w:w="6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Exhibits</w:t>
            </w:r>
          </w:p>
        </w:tc>
        <w:tc>
          <w:tcPr>
            <w:tcW w:w="660" w:type="dxa"/>
            <w:vAlign w:val="bottom"/>
            <w:tcBorders>
              <w:top w:val="single" w:sz="8" w:color="0000EE"/>
            </w:tcBorders>
            <w:gridSpan w:val="3"/>
          </w:tcPr>
          <w:p>
            <w:pPr>
              <w:spacing w:after="0"/>
              <w:rPr>
                <w:sz w:val="19"/>
                <w:szCs w:val="19"/>
                <w:color w:val="auto"/>
              </w:rPr>
            </w:pPr>
          </w:p>
        </w:tc>
        <w:tc>
          <w:tcPr>
            <w:tcW w:w="6900" w:type="dxa"/>
            <w:vAlign w:val="bottom"/>
            <w:gridSpan w:val="14"/>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23"/>
        </w:trPr>
        <w:tc>
          <w:tcPr>
            <w:tcW w:w="9300" w:type="dxa"/>
            <w:vAlign w:val="bottom"/>
            <w:gridSpan w:val="23"/>
          </w:tcPr>
          <w:p>
            <w:pPr>
              <w:spacing w:after="0"/>
              <w:rPr>
                <w:sz w:val="20"/>
                <w:szCs w:val="20"/>
                <w:color w:val="auto"/>
              </w:rPr>
            </w:pPr>
            <w:r>
              <w:rPr>
                <w:rFonts w:ascii="Arial" w:cs="Arial" w:eastAsia="Arial" w:hAnsi="Arial"/>
                <w:sz w:val="18"/>
                <w:szCs w:val="18"/>
                <w:b w:val="1"/>
                <w:bCs w:val="1"/>
                <w:color w:val="0000EE"/>
              </w:rPr>
              <w:t>SIGNATURES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1256"/>
        </w:trPr>
        <w:tc>
          <w:tcPr>
            <w:tcW w:w="6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91"/>
              <w:spacing w:after="0"/>
              <w:rPr>
                <w:sz w:val="20"/>
                <w:szCs w:val="20"/>
                <w:color w:val="auto"/>
              </w:rPr>
            </w:pPr>
            <w:r>
              <w:rPr>
                <w:rFonts w:ascii="Arial" w:cs="Arial" w:eastAsia="Arial" w:hAnsi="Arial"/>
                <w:sz w:val="14"/>
                <w:szCs w:val="14"/>
                <w:b w:val="1"/>
                <w:bCs w:val="1"/>
                <w:color w:val="auto"/>
                <w:w w:val="99"/>
              </w:rPr>
              <w:t>December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84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12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and other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Accrued clinical site costs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Earnout Cash liability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Warrant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 payable and accrued interest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20" w:type="dxa"/>
            <w:vAlign w:val="bottom"/>
          </w:tcPr>
          <w:p>
            <w:pPr>
              <w:spacing w:after="0" w:line="201" w:lineRule="exact"/>
              <w:rPr>
                <w:sz w:val="20"/>
                <w:szCs w:val="20"/>
                <w:color w:val="auto"/>
              </w:rPr>
            </w:pPr>
            <w:r>
              <w:rPr>
                <w:rFonts w:ascii="Arial" w:cs="Arial" w:eastAsia="Arial" w:hAnsi="Arial"/>
                <w:sz w:val="18"/>
                <w:szCs w:val="18"/>
                <w:color w:val="auto"/>
                <w:w w:val="91"/>
              </w:rPr>
              <w:t>Preferred stock, $0.001 par value, 50,000,000 shares authorized; 0 shares issued and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outstanding at September 30, 2022 and December 31, 2021, respectively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$0.001 par value, 500,000,000 shares authorized; 67,641,314 and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w w:val="92"/>
              </w:rPr>
              <w:t>58,810,550 shares issued and outstanding at September 30, 2022 and December 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2021, respectively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229,470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4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45"/>
        </w:trPr>
        <w:tc>
          <w:tcPr>
            <w:tcW w:w="47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13,844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28,382</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Settlement expense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Reimbursement of expenses from Relief Therapeutics</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62,821</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(62,821)</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Other (income) expenses: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extinguishment of debt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Change in fair value of warrant liabilities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Earnout Cash liability</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other (income) expenses</w:t>
            </w: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(62,656)</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Deemed dividend</w:t>
            </w: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(255,822)</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(318,478)</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Arial" w:cs="Arial" w:eastAsia="Arial" w:hAnsi="Arial"/>
                <w:sz w:val="18"/>
                <w:szCs w:val="18"/>
                <w:color w:val="auto"/>
              </w:rPr>
              <w:t>Diluted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66,449,593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51,739,452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65,532,409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43,290,675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NRX PHARMACEUTICALS, INC.</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020" w:type="dxa"/>
            <w:vAlign w:val="bottom"/>
            <w:gridSpan w:val="3"/>
            <w:vMerge w:val="restart"/>
          </w:tcPr>
          <w:p>
            <w:pPr>
              <w:jc w:val="right"/>
              <w:ind w:right="344"/>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02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Paid-in-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6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68"/>
              <w:spacing w:after="0" w:line="142"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48"/>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2021</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58,810,550</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4"/>
              <w:spacing w:after="0"/>
              <w:rPr>
                <w:sz w:val="20"/>
                <w:szCs w:val="20"/>
                <w:color w:val="auto"/>
              </w:rPr>
            </w:pPr>
            <w:r>
              <w:rPr>
                <w:rFonts w:ascii="Arial" w:cs="Arial" w:eastAsia="Arial" w:hAnsi="Arial"/>
                <w:sz w:val="10"/>
                <w:szCs w:val="10"/>
                <w:b w:val="1"/>
                <w:bCs w:val="1"/>
                <w:color w:val="auto"/>
                <w:w w:val="71"/>
              </w:rPr>
              <w:t>$</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203,990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(183,243)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20,806</w:t>
            </w:r>
          </w:p>
        </w:tc>
        <w:tc>
          <w:tcPr>
            <w:tcW w:w="0" w:type="dxa"/>
            <w:vAlign w:val="bottom"/>
          </w:tcPr>
          <w:p>
            <w:pPr>
              <w:spacing w:after="0"/>
              <w:rPr>
                <w:sz w:val="1"/>
                <w:szCs w:val="1"/>
                <w:color w:val="auto"/>
              </w:rPr>
            </w:pPr>
          </w:p>
        </w:tc>
      </w:tr>
      <w:tr>
        <w:trPr>
          <w:trHeight w:val="130"/>
        </w:trPr>
        <w:tc>
          <w:tcPr>
            <w:tcW w:w="3600" w:type="dxa"/>
            <w:vAlign w:val="bottom"/>
          </w:tcPr>
          <w:p>
            <w:pPr>
              <w:spacing w:after="0" w:line="130" w:lineRule="exact"/>
              <w:rPr>
                <w:sz w:val="20"/>
                <w:szCs w:val="20"/>
                <w:color w:val="auto"/>
              </w:rPr>
            </w:pPr>
            <w:r>
              <w:rPr>
                <w:rFonts w:ascii="Arial" w:cs="Arial" w:eastAsia="Arial" w:hAnsi="Arial"/>
                <w:sz w:val="14"/>
                <w:szCs w:val="14"/>
                <w:color w:val="auto"/>
                <w:w w:val="94"/>
              </w:rPr>
              <w:t>Common stock and warrants issued in private placement, net</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of issuance costs of $2,020</w:t>
            </w:r>
          </w:p>
        </w:tc>
        <w:tc>
          <w:tcPr>
            <w:tcW w:w="960" w:type="dxa"/>
            <w:vAlign w:val="bottom"/>
          </w:tcPr>
          <w:p>
            <w:pPr>
              <w:jc w:val="right"/>
              <w:spacing w:after="0"/>
              <w:rPr>
                <w:sz w:val="20"/>
                <w:szCs w:val="20"/>
                <w:color w:val="auto"/>
              </w:rPr>
            </w:pPr>
            <w:r>
              <w:rPr>
                <w:rFonts w:ascii="Arial" w:cs="Arial" w:eastAsia="Arial" w:hAnsi="Arial"/>
                <w:sz w:val="14"/>
                <w:szCs w:val="14"/>
                <w:color w:val="auto"/>
              </w:rPr>
              <w:t>7,824,727</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22,972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22,980</w:t>
            </w: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issued for consulting services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6,037</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1,334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1,334</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(13,448)</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(13,448)</w:t>
            </w: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 March 31, 2022</w:t>
            </w: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66,641,314</w:t>
            </w:r>
          </w:p>
        </w:tc>
        <w:tc>
          <w:tcPr>
            <w:tcW w:w="220" w:type="dxa"/>
            <w:vAlign w:val="bottom"/>
          </w:tcPr>
          <w:p>
            <w:pPr>
              <w:spacing w:after="0"/>
              <w:rPr>
                <w:sz w:val="12"/>
                <w:szCs w:val="12"/>
                <w:color w:val="auto"/>
              </w:rPr>
            </w:pPr>
          </w:p>
        </w:tc>
        <w:tc>
          <w:tcPr>
            <w:tcW w:w="840" w:type="dxa"/>
            <w:vAlign w:val="bottom"/>
          </w:tcPr>
          <w:p>
            <w:pPr>
              <w:jc w:val="right"/>
              <w:ind w:right="724"/>
              <w:spacing w:after="0"/>
              <w:rPr>
                <w:sz w:val="20"/>
                <w:szCs w:val="20"/>
                <w:color w:val="auto"/>
              </w:rPr>
            </w:pPr>
            <w:r>
              <w:rPr>
                <w:rFonts w:ascii="Arial" w:cs="Arial" w:eastAsia="Arial" w:hAnsi="Arial"/>
                <w:sz w:val="10"/>
                <w:szCs w:val="10"/>
                <w:b w:val="1"/>
                <w:bCs w:val="1"/>
                <w:color w:val="auto"/>
                <w:w w:val="71"/>
              </w:rPr>
              <w:t>$</w:t>
            </w: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67</w:t>
            </w:r>
          </w:p>
        </w:tc>
        <w:tc>
          <w:tcPr>
            <w:tcW w:w="2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228,313</w:t>
            </w:r>
          </w:p>
        </w:tc>
        <w:tc>
          <w:tcPr>
            <w:tcW w:w="200" w:type="dxa"/>
            <w:vAlign w:val="bottom"/>
          </w:tcPr>
          <w:p>
            <w:pPr>
              <w:spacing w:after="0"/>
              <w:rPr>
                <w:sz w:val="12"/>
                <w:szCs w:val="12"/>
                <w:color w:val="auto"/>
              </w:rPr>
            </w:pP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(196,691)</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31,689</w:t>
            </w:r>
          </w:p>
        </w:tc>
        <w:tc>
          <w:tcPr>
            <w:tcW w:w="0" w:type="dxa"/>
            <w:vAlign w:val="bottom"/>
          </w:tcPr>
          <w:p>
            <w:pPr>
              <w:spacing w:after="0"/>
              <w:rPr>
                <w:sz w:val="1"/>
                <w:szCs w:val="1"/>
                <w:color w:val="auto"/>
              </w:rPr>
            </w:pPr>
          </w:p>
        </w:tc>
      </w:tr>
      <w:tr>
        <w:trPr>
          <w:trHeight w:val="130"/>
        </w:trPr>
        <w:tc>
          <w:tcPr>
            <w:tcW w:w="3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Additional issuance costs in connection with Private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shd w:val="clear" w:color="auto" w:fill="CCEEFF"/>
          </w:tcPr>
          <w:p>
            <w:pPr>
              <w:spacing w:after="0"/>
              <w:rPr>
                <w:sz w:val="20"/>
                <w:szCs w:val="20"/>
                <w:color w:val="auto"/>
              </w:rPr>
            </w:pPr>
            <w:r>
              <w:rPr>
                <w:rFonts w:ascii="Arial" w:cs="Arial" w:eastAsia="Arial" w:hAnsi="Arial"/>
                <w:sz w:val="14"/>
                <w:szCs w:val="14"/>
                <w:color w:val="auto"/>
              </w:rPr>
              <w:t>Placement</w:t>
            </w:r>
          </w:p>
        </w:tc>
        <w:tc>
          <w:tcPr>
            <w:tcW w:w="9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987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(6,982)</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(6,982)</w:t>
            </w:r>
          </w:p>
        </w:tc>
        <w:tc>
          <w:tcPr>
            <w:tcW w:w="0" w:type="dxa"/>
            <w:vAlign w:val="bottom"/>
          </w:tcPr>
          <w:p>
            <w:pPr>
              <w:spacing w:after="0"/>
              <w:rPr>
                <w:sz w:val="1"/>
                <w:szCs w:val="1"/>
                <w:color w:val="auto"/>
              </w:rPr>
            </w:pPr>
          </w:p>
        </w:tc>
      </w:tr>
      <w:tr>
        <w:trPr>
          <w:trHeight w:val="182"/>
        </w:trPr>
        <w:tc>
          <w:tcPr>
            <w:tcW w:w="36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 June 30, 2022</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66,641,314</w:t>
            </w:r>
          </w:p>
        </w:tc>
        <w:tc>
          <w:tcPr>
            <w:tcW w:w="2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724"/>
              <w:spacing w:after="0"/>
              <w:rPr>
                <w:sz w:val="20"/>
                <w:szCs w:val="20"/>
                <w:color w:val="auto"/>
              </w:rPr>
            </w:pPr>
            <w:r>
              <w:rPr>
                <w:rFonts w:ascii="Arial" w:cs="Arial" w:eastAsia="Arial" w:hAnsi="Arial"/>
                <w:sz w:val="10"/>
                <w:szCs w:val="10"/>
                <w:b w:val="1"/>
                <w:bCs w:val="1"/>
                <w:color w:val="auto"/>
                <w:w w:val="71"/>
              </w:rPr>
              <w:t>$</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67</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228,958</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(203,673)</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25,352</w:t>
            </w:r>
          </w:p>
        </w:tc>
        <w:tc>
          <w:tcPr>
            <w:tcW w:w="0" w:type="dxa"/>
            <w:vAlign w:val="bottom"/>
          </w:tcPr>
          <w:p>
            <w:pPr>
              <w:spacing w:after="0"/>
              <w:rPr>
                <w:sz w:val="1"/>
                <w:szCs w:val="1"/>
                <w:color w:val="auto"/>
              </w:rPr>
            </w:pPr>
          </w:p>
        </w:tc>
      </w:tr>
      <w:tr>
        <w:trPr>
          <w:trHeight w:val="83"/>
        </w:trPr>
        <w:tc>
          <w:tcPr>
            <w:tcW w:w="3600" w:type="dxa"/>
            <w:vAlign w:val="bottom"/>
            <w:shd w:val="clear" w:color="auto" w:fill="CCEEFF"/>
          </w:tcPr>
          <w:p>
            <w:pPr>
              <w:spacing w:after="0" w:line="84" w:lineRule="exact"/>
              <w:rPr>
                <w:sz w:val="20"/>
                <w:szCs w:val="20"/>
                <w:color w:val="auto"/>
              </w:rPr>
            </w:pPr>
            <w:r>
              <w:rPr>
                <w:rFonts w:ascii="Arial" w:cs="Arial" w:eastAsia="Arial" w:hAnsi="Arial"/>
                <w:sz w:val="9"/>
                <w:szCs w:val="9"/>
                <w:color w:val="auto"/>
              </w:rPr>
              <w:t>Additional issuance costs in connection with Private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600" w:type="dxa"/>
            <w:vAlign w:val="bottom"/>
            <w:shd w:val="clear" w:color="auto" w:fill="CCEEFF"/>
          </w:tcPr>
          <w:p>
            <w:pPr>
              <w:spacing w:after="0"/>
              <w:rPr>
                <w:sz w:val="20"/>
                <w:szCs w:val="20"/>
                <w:color w:val="auto"/>
              </w:rPr>
            </w:pPr>
            <w:r>
              <w:rPr>
                <w:rFonts w:ascii="Arial" w:cs="Arial" w:eastAsia="Arial" w:hAnsi="Arial"/>
                <w:sz w:val="14"/>
                <w:szCs w:val="14"/>
                <w:color w:val="auto"/>
              </w:rPr>
              <w:t>Placement</w:t>
            </w:r>
          </w:p>
        </w:tc>
        <w:tc>
          <w:tcPr>
            <w:tcW w:w="9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Arial" w:cs="Arial" w:eastAsia="Arial" w:hAnsi="Arial"/>
                <w:sz w:val="14"/>
                <w:szCs w:val="14"/>
                <w:color w:val="auto"/>
              </w:rPr>
              <w:t>Restricted stock awards granted</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49"/>
        </w:trPr>
        <w:tc>
          <w:tcPr>
            <w:tcW w:w="36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(9,083)</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(9,083)</w:t>
            </w:r>
          </w:p>
        </w:tc>
        <w:tc>
          <w:tcPr>
            <w:tcW w:w="0" w:type="dxa"/>
            <w:vAlign w:val="bottom"/>
          </w:tcPr>
          <w:p>
            <w:pPr>
              <w:spacing w:after="0"/>
              <w:rPr>
                <w:sz w:val="1"/>
                <w:szCs w:val="1"/>
                <w:color w:val="auto"/>
              </w:rPr>
            </w:pPr>
          </w:p>
        </w:tc>
      </w:tr>
      <w:tr>
        <w:trPr>
          <w:trHeight w:val="142"/>
        </w:trPr>
        <w:tc>
          <w:tcPr>
            <w:tcW w:w="36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September 30, 2022</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67,641,314</w:t>
            </w:r>
          </w:p>
        </w:tc>
        <w:tc>
          <w:tcPr>
            <w:tcW w:w="2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0"/>
                <w:szCs w:val="10"/>
                <w:b w:val="1"/>
                <w:bCs w:val="1"/>
                <w:color w:val="auto"/>
                <w:w w:val="71"/>
              </w:rPr>
              <w:t>$</w:t>
            </w:r>
          </w:p>
        </w:tc>
        <w:tc>
          <w:tcPr>
            <w:tcW w:w="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229,470</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(212,756)</w:t>
            </w: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16,782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NRX PHARMACEUTICALS, INC.</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020" w:type="dxa"/>
            <w:vAlign w:val="bottom"/>
            <w:gridSpan w:val="3"/>
            <w:vMerge w:val="restart"/>
          </w:tcPr>
          <w:p>
            <w:pPr>
              <w:jc w:val="right"/>
              <w:ind w:right="343"/>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02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Paid-in-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6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68"/>
              <w:spacing w:after="0" w:line="142"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December 31, 2020</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42,973,462</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3"/>
              <w:spacing w:after="0"/>
              <w:rPr>
                <w:sz w:val="20"/>
                <w:szCs w:val="20"/>
                <w:color w:val="auto"/>
              </w:rPr>
            </w:pPr>
            <w:r>
              <w:rPr>
                <w:rFonts w:ascii="Arial" w:cs="Arial" w:eastAsia="Arial" w:hAnsi="Arial"/>
                <w:sz w:val="10"/>
                <w:szCs w:val="10"/>
                <w:b w:val="1"/>
                <w:bCs w:val="1"/>
                <w:color w:val="auto"/>
                <w:w w:val="71"/>
              </w:rPr>
              <w:t>$</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46,366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(90,180)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(43,771)</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Arial" w:cs="Arial" w:eastAsia="Arial" w:hAnsi="Arial"/>
                <w:sz w:val="14"/>
                <w:szCs w:val="14"/>
                <w:color w:val="auto"/>
              </w:rPr>
              <w:t>Common stock issued</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333,121</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6,927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6,927</w:t>
            </w:r>
          </w:p>
        </w:tc>
        <w:tc>
          <w:tcPr>
            <w:tcW w:w="0" w:type="dxa"/>
            <w:vAlign w:val="bottom"/>
          </w:tcPr>
          <w:p>
            <w:pPr>
              <w:spacing w:after="0"/>
              <w:rPr>
                <w:sz w:val="1"/>
                <w:szCs w:val="1"/>
                <w:color w:val="auto"/>
              </w:rPr>
            </w:pPr>
          </w:p>
        </w:tc>
      </w:tr>
      <w:tr>
        <w:trPr>
          <w:trHeight w:val="130"/>
        </w:trPr>
        <w:tc>
          <w:tcPr>
            <w:tcW w:w="3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Proceeds from issuance of common stock for exercise of</w:t>
            </w: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shd w:val="clear" w:color="auto" w:fill="CCEEFF"/>
          </w:tcPr>
          <w:p>
            <w:pPr>
              <w:spacing w:after="0"/>
              <w:rPr>
                <w:sz w:val="20"/>
                <w:szCs w:val="20"/>
                <w:color w:val="auto"/>
              </w:rPr>
            </w:pPr>
            <w:r>
              <w:rPr>
                <w:rFonts w:ascii="Arial" w:cs="Arial" w:eastAsia="Arial" w:hAnsi="Arial"/>
                <w:sz w:val="14"/>
                <w:szCs w:val="14"/>
                <w:color w:val="auto"/>
              </w:rPr>
              <w:t>warrant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1,496,216</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30"/>
        </w:trPr>
        <w:tc>
          <w:tcPr>
            <w:tcW w:w="3600" w:type="dxa"/>
            <w:vAlign w:val="bottom"/>
          </w:tcPr>
          <w:p>
            <w:pPr>
              <w:spacing w:after="0" w:line="130" w:lineRule="exact"/>
              <w:rPr>
                <w:sz w:val="20"/>
                <w:szCs w:val="20"/>
                <w:color w:val="auto"/>
              </w:rPr>
            </w:pPr>
            <w:r>
              <w:rPr>
                <w:rFonts w:ascii="Arial" w:cs="Arial" w:eastAsia="Arial" w:hAnsi="Arial"/>
                <w:sz w:val="14"/>
                <w:szCs w:val="14"/>
                <w:color w:val="auto"/>
              </w:rPr>
              <w:t>Reclassification of settlement liability upon issuance of</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warrant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60,852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60,852</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48"/>
        </w:trPr>
        <w:tc>
          <w:tcPr>
            <w:tcW w:w="36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(25,489)</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(25,489)</w:t>
            </w: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March 31, 2021</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44,802,799</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3"/>
              <w:spacing w:after="0"/>
              <w:rPr>
                <w:sz w:val="20"/>
                <w:szCs w:val="20"/>
                <w:color w:val="auto"/>
              </w:rPr>
            </w:pPr>
            <w:r>
              <w:rPr>
                <w:rFonts w:ascii="Arial" w:cs="Arial" w:eastAsia="Arial" w:hAnsi="Arial"/>
                <w:sz w:val="10"/>
                <w:szCs w:val="10"/>
                <w:b w:val="1"/>
                <w:bCs w:val="1"/>
                <w:color w:val="auto"/>
                <w:w w:val="71"/>
              </w:rPr>
              <w:t>$</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122,016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(115,669)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6,391</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Arial" w:cs="Arial" w:eastAsia="Arial" w:hAnsi="Arial"/>
                <w:sz w:val="14"/>
                <w:szCs w:val="14"/>
                <w:color w:val="auto"/>
              </w:rPr>
              <w:t>Common stock issued</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71,056</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1,562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1,562</w:t>
            </w:r>
          </w:p>
        </w:tc>
        <w:tc>
          <w:tcPr>
            <w:tcW w:w="0" w:type="dxa"/>
            <w:vAlign w:val="bottom"/>
          </w:tcPr>
          <w:p>
            <w:pPr>
              <w:spacing w:after="0"/>
              <w:rPr>
                <w:sz w:val="1"/>
                <w:szCs w:val="1"/>
                <w:color w:val="auto"/>
              </w:rPr>
            </w:pPr>
          </w:p>
        </w:tc>
      </w:tr>
      <w:tr>
        <w:trPr>
          <w:trHeight w:val="130"/>
        </w:trPr>
        <w:tc>
          <w:tcPr>
            <w:tcW w:w="3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Effect of Merger and recapitalization, net of redemptions and</w:t>
            </w: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shd w:val="clear" w:color="auto" w:fill="CCEEFF"/>
          </w:tcPr>
          <w:p>
            <w:pPr>
              <w:spacing w:after="0"/>
              <w:rPr>
                <w:sz w:val="20"/>
                <w:szCs w:val="20"/>
                <w:color w:val="auto"/>
              </w:rPr>
            </w:pPr>
            <w:r>
              <w:rPr>
                <w:rFonts w:ascii="Arial" w:cs="Arial" w:eastAsia="Arial" w:hAnsi="Arial"/>
                <w:sz w:val="14"/>
                <w:szCs w:val="14"/>
                <w:color w:val="auto"/>
              </w:rPr>
              <w:t>issuance costs of $1,413</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2,529,730</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(64,840)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(64,836)</w:t>
            </w:r>
          </w:p>
        </w:tc>
        <w:tc>
          <w:tcPr>
            <w:tcW w:w="0" w:type="dxa"/>
            <w:vAlign w:val="bottom"/>
          </w:tcPr>
          <w:p>
            <w:pPr>
              <w:spacing w:after="0"/>
              <w:rPr>
                <w:sz w:val="1"/>
                <w:szCs w:val="1"/>
                <w:color w:val="auto"/>
              </w:rPr>
            </w:pPr>
          </w:p>
        </w:tc>
      </w:tr>
      <w:tr>
        <w:trPr>
          <w:trHeight w:val="130"/>
        </w:trPr>
        <w:tc>
          <w:tcPr>
            <w:tcW w:w="3600" w:type="dxa"/>
            <w:vAlign w:val="bottom"/>
          </w:tcPr>
          <w:p>
            <w:pPr>
              <w:spacing w:after="0" w:line="130" w:lineRule="exact"/>
              <w:rPr>
                <w:sz w:val="20"/>
                <w:szCs w:val="20"/>
                <w:color w:val="auto"/>
              </w:rPr>
            </w:pPr>
            <w:r>
              <w:rPr>
                <w:rFonts w:ascii="Arial" w:cs="Arial" w:eastAsia="Arial" w:hAnsi="Arial"/>
                <w:sz w:val="14"/>
                <w:szCs w:val="14"/>
                <w:color w:val="auto"/>
              </w:rPr>
              <w:t>Common stock issued pursuant to PIPE financing, net of</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issuance costs of $1,900</w:t>
            </w:r>
          </w:p>
        </w:tc>
        <w:tc>
          <w:tcPr>
            <w:tcW w:w="960" w:type="dxa"/>
            <w:vAlign w:val="bottom"/>
          </w:tcPr>
          <w:p>
            <w:pPr>
              <w:jc w:val="right"/>
              <w:spacing w:after="0"/>
              <w:rPr>
                <w:sz w:val="20"/>
                <w:szCs w:val="20"/>
                <w:color w:val="auto"/>
              </w:rPr>
            </w:pPr>
            <w:r>
              <w:rPr>
                <w:rFonts w:ascii="Arial" w:cs="Arial" w:eastAsia="Arial" w:hAnsi="Arial"/>
                <w:sz w:val="14"/>
                <w:szCs w:val="14"/>
                <w:color w:val="auto"/>
              </w:rPr>
              <w:t>1,000,000</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8,099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8,100</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issued for advisor services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4,850</w:t>
            </w: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Modification of option awards pursuant to Merger</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1,014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Modification of warrants pursuant to Merger</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2,331</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938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 June 30, 2021</w:t>
            </w: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48,603,585</w:t>
            </w:r>
          </w:p>
        </w:tc>
        <w:tc>
          <w:tcPr>
            <w:tcW w:w="220" w:type="dxa"/>
            <w:vAlign w:val="bottom"/>
          </w:tcPr>
          <w:p>
            <w:pPr>
              <w:spacing w:after="0"/>
              <w:rPr>
                <w:sz w:val="12"/>
                <w:szCs w:val="12"/>
                <w:color w:val="auto"/>
              </w:rPr>
            </w:pPr>
          </w:p>
        </w:tc>
        <w:tc>
          <w:tcPr>
            <w:tcW w:w="840" w:type="dxa"/>
            <w:vAlign w:val="bottom"/>
          </w:tcPr>
          <w:p>
            <w:pPr>
              <w:jc w:val="right"/>
              <w:ind w:right="723"/>
              <w:spacing w:after="0"/>
              <w:rPr>
                <w:sz w:val="20"/>
                <w:szCs w:val="20"/>
                <w:color w:val="auto"/>
              </w:rPr>
            </w:pPr>
            <w:r>
              <w:rPr>
                <w:rFonts w:ascii="Arial" w:cs="Arial" w:eastAsia="Arial" w:hAnsi="Arial"/>
                <w:sz w:val="10"/>
                <w:szCs w:val="10"/>
                <w:b w:val="1"/>
                <w:bCs w:val="1"/>
                <w:color w:val="auto"/>
                <w:w w:val="71"/>
              </w:rPr>
              <w:t>$</w:t>
            </w: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49</w:t>
            </w:r>
          </w:p>
        </w:tc>
        <w:tc>
          <w:tcPr>
            <w:tcW w:w="2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75,970</w:t>
            </w:r>
          </w:p>
        </w:tc>
        <w:tc>
          <w:tcPr>
            <w:tcW w:w="200" w:type="dxa"/>
            <w:vAlign w:val="bottom"/>
          </w:tcPr>
          <w:p>
            <w:pPr>
              <w:spacing w:after="0"/>
              <w:rPr>
                <w:sz w:val="12"/>
                <w:szCs w:val="12"/>
                <w:color w:val="auto"/>
              </w:rPr>
            </w:pP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(115,786)</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(39,767)</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issued</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511,065</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1,134</w:t>
            </w:r>
          </w:p>
        </w:tc>
        <w:tc>
          <w:tcPr>
            <w:tcW w:w="0" w:type="dxa"/>
            <w:vAlign w:val="bottom"/>
          </w:tcPr>
          <w:p>
            <w:pPr>
              <w:spacing w:after="0"/>
              <w:rPr>
                <w:sz w:val="1"/>
                <w:szCs w:val="1"/>
                <w:color w:val="auto"/>
              </w:rPr>
            </w:pPr>
          </w:p>
        </w:tc>
      </w:tr>
      <w:tr>
        <w:trPr>
          <w:trHeight w:val="130"/>
        </w:trPr>
        <w:tc>
          <w:tcPr>
            <w:tcW w:w="3600" w:type="dxa"/>
            <w:vAlign w:val="bottom"/>
          </w:tcPr>
          <w:p>
            <w:pPr>
              <w:spacing w:after="0" w:line="130" w:lineRule="exact"/>
              <w:rPr>
                <w:sz w:val="20"/>
                <w:szCs w:val="20"/>
                <w:color w:val="auto"/>
              </w:rPr>
            </w:pPr>
            <w:r>
              <w:rPr>
                <w:rFonts w:ascii="Arial" w:cs="Arial" w:eastAsia="Arial" w:hAnsi="Arial"/>
                <w:sz w:val="14"/>
                <w:szCs w:val="14"/>
                <w:color w:val="auto"/>
                <w:w w:val="94"/>
              </w:rPr>
              <w:t>Common stock and warrants issued in private placement, net</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of issuance costs of $3,669</w:t>
            </w:r>
          </w:p>
        </w:tc>
        <w:tc>
          <w:tcPr>
            <w:tcW w:w="960" w:type="dxa"/>
            <w:vAlign w:val="bottom"/>
          </w:tcPr>
          <w:p>
            <w:pPr>
              <w:jc w:val="right"/>
              <w:spacing w:after="0"/>
              <w:rPr>
                <w:sz w:val="20"/>
                <w:szCs w:val="20"/>
                <w:color w:val="auto"/>
              </w:rPr>
            </w:pPr>
            <w:r>
              <w:rPr>
                <w:rFonts w:ascii="Arial" w:cs="Arial" w:eastAsia="Arial" w:hAnsi="Arial"/>
                <w:sz w:val="14"/>
                <w:szCs w:val="14"/>
                <w:color w:val="auto"/>
              </w:rPr>
              <w:t>2,727,273</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27,356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27,359</w:t>
            </w:r>
          </w:p>
        </w:tc>
        <w:tc>
          <w:tcPr>
            <w:tcW w:w="0" w:type="dxa"/>
            <w:vAlign w:val="bottom"/>
          </w:tcPr>
          <w:p>
            <w:pPr>
              <w:spacing w:after="0"/>
              <w:rPr>
                <w:sz w:val="1"/>
                <w:szCs w:val="1"/>
                <w:color w:val="auto"/>
              </w:rPr>
            </w:pPr>
          </w:p>
        </w:tc>
      </w:tr>
      <w:tr>
        <w:trPr>
          <w:trHeight w:val="130"/>
        </w:trPr>
        <w:tc>
          <w:tcPr>
            <w:tcW w:w="3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Issuance of common stock for exercise of warrants and Unit</w:t>
            </w: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shd w:val="clear" w:color="auto" w:fill="CCEEFF"/>
          </w:tcPr>
          <w:p>
            <w:pPr>
              <w:spacing w:after="0"/>
              <w:rPr>
                <w:sz w:val="20"/>
                <w:szCs w:val="20"/>
                <w:color w:val="auto"/>
              </w:rPr>
            </w:pPr>
            <w:r>
              <w:rPr>
                <w:rFonts w:ascii="Arial" w:cs="Arial" w:eastAsia="Arial" w:hAnsi="Arial"/>
                <w:sz w:val="14"/>
                <w:szCs w:val="14"/>
                <w:color w:val="auto"/>
              </w:rPr>
              <w:t>Purchase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2,334,370</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47,317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47,319</w:t>
            </w: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Common stock issued for consulting services</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634,045</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7,925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7,926</w:t>
            </w: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1,560</w:t>
            </w:r>
          </w:p>
        </w:tc>
        <w:tc>
          <w:tcPr>
            <w:tcW w:w="0" w:type="dxa"/>
            <w:vAlign w:val="bottom"/>
          </w:tcPr>
          <w:p>
            <w:pPr>
              <w:spacing w:after="0"/>
              <w:rPr>
                <w:sz w:val="1"/>
                <w:szCs w:val="1"/>
                <w:color w:val="auto"/>
              </w:rPr>
            </w:pPr>
          </w:p>
        </w:tc>
      </w:tr>
      <w:tr>
        <w:trPr>
          <w:trHeight w:val="148"/>
        </w:trPr>
        <w:tc>
          <w:tcPr>
            <w:tcW w:w="36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(37,049)</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(37,049)</w:t>
            </w:r>
          </w:p>
        </w:tc>
        <w:tc>
          <w:tcPr>
            <w:tcW w:w="0" w:type="dxa"/>
            <w:vAlign w:val="bottom"/>
          </w:tcPr>
          <w:p>
            <w:pPr>
              <w:spacing w:after="0"/>
              <w:rPr>
                <w:sz w:val="1"/>
                <w:szCs w:val="1"/>
                <w:color w:val="auto"/>
              </w:rPr>
            </w:pPr>
          </w:p>
        </w:tc>
      </w:tr>
      <w:tr>
        <w:trPr>
          <w:trHeight w:val="142"/>
        </w:trPr>
        <w:tc>
          <w:tcPr>
            <w:tcW w:w="36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September 30, 2021</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54,810,338</w:t>
            </w:r>
          </w:p>
        </w:tc>
        <w:tc>
          <w:tcPr>
            <w:tcW w:w="2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161,262</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(152,835)</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8,482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NRX PHARMACEUTICALS,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center"/>
              <w:ind w:right="251"/>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(29,513)</w:t>
            </w:r>
          </w:p>
        </w:tc>
        <w:tc>
          <w:tcPr>
            <w:tcW w:w="38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Gain on extinguishment of debt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Change in fair value of Earnout Cash liability</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(4,582)</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interest expense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Non-cash settlement expense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consulting expense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 receivable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(1,443)</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(31,437)</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Purchase of computer equipment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Proceeds from issuance of common stock for exercise of warrant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Effect of Merger, net of transaction costs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80" w:type="dxa"/>
            <w:vAlign w:val="bottom"/>
          </w:tcPr>
          <w:p>
            <w:pPr>
              <w:spacing w:after="0" w:line="201" w:lineRule="exact"/>
              <w:rPr>
                <w:sz w:val="20"/>
                <w:szCs w:val="20"/>
                <w:color w:val="auto"/>
              </w:rPr>
            </w:pPr>
            <w:r>
              <w:rPr>
                <w:rFonts w:ascii="Arial" w:cs="Arial" w:eastAsia="Arial" w:hAnsi="Arial"/>
                <w:sz w:val="18"/>
                <w:szCs w:val="18"/>
                <w:color w:val="auto"/>
                <w:w w:val="91"/>
              </w:rPr>
              <w:t>Proceeds from issuance of common stock and exercise of stock options, net of transaction</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costs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 payable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80" w:type="dxa"/>
            <w:vAlign w:val="bottom"/>
          </w:tcPr>
          <w:p>
            <w:pPr>
              <w:spacing w:after="0" w:line="201" w:lineRule="exact"/>
              <w:rPr>
                <w:sz w:val="20"/>
                <w:szCs w:val="20"/>
                <w:color w:val="auto"/>
              </w:rPr>
            </w:pPr>
            <w:r>
              <w:rPr>
                <w:rFonts w:ascii="Arial" w:cs="Arial" w:eastAsia="Arial" w:hAnsi="Arial"/>
                <w:sz w:val="18"/>
                <w:szCs w:val="18"/>
                <w:color w:val="auto"/>
                <w:w w:val="90"/>
              </w:rPr>
              <w:t>Proceeds from issuance of common stock and warrants issued in private placement, net of</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issuance costs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22,610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notes payable assumed in Merger</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Repayment of notes payable - related party</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22,092</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(9,356)</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27,605</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18,249</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38,884</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investing and financing activities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Reclassification of settlement liability upon issuance of warrant</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legacy NeuroRx warrants to warrant liabilities</w:t>
            </w:r>
          </w:p>
        </w:tc>
        <w:tc>
          <w:tcPr>
            <w:tcW w:w="4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Reclassification of warrant liability upon exercise of warrant</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warrants as offering costs</w:t>
            </w:r>
          </w:p>
        </w:tc>
        <w:tc>
          <w:tcPr>
            <w:tcW w:w="4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Extinguishment of Paycheck Protection Program Loan</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settlement of accrued liability</w:t>
            </w:r>
          </w:p>
        </w:tc>
        <w:tc>
          <w:tcPr>
            <w:tcW w:w="4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Business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May 24, 2021 (“Effective Time”), we consummated the business combination (“Merger”) contemplated by the Agreement and Plan of Merger (as amended, the “Merger Agreement”), dated December 13, 2020, by and among our company (formerly known as Big Rock Partners Acquisition Corp. (“BRPA”)), NeuroRx, Inc., a Delaware corporation (“NeuroRx”), and Big Rock Merger Corp., a Delaware corporation and wholly owned, direct subsidiary of BRPA (“Merger Sub”), pursuant to which Merger Sub was merged with and into NeuroRx, with NeuroRx surviving the Merger. As a result of the Merger, and upon consummation of the Merger and other transactions contemplated by the Merger Agreement, NeuroRx became a wholly owned, direct subsidiary of BRPA. Upon the closing of the Merger, we changed our name to NRX Pharmaceuticals, Inc., with the stockholders of NeuroRx becoming stockholders of NRX Pharmaceuticals, Inc. Unless the context suggests otherwise, references to “NRx Pharmaceuticals,” “NeuroRx”, “NRXP,” “we,” or the “Company” refer to NRX Pharmaceuticals, Inc. and, where appropriate, its subsidiaries.</w:t>
      </w:r>
    </w:p>
    <w:p>
      <w:pPr>
        <w:spacing w:after="0" w:line="18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is a clinical-stage pharmaceutical company which applies innovative science to known molecules to develop life-saving medicines through its wholly owned operating subsidiary, NeuroRx. The Company's foundation product, NRX-101 (D-cylcoserine/Lurasidone), for the treatment of bipolar depression in patients with suicidality, has been awarded Fast Track designation, Breakthrough Therapy designation, a Special Protocol Agreement, and a Biomarker Letter of Support by the U.S. Food and Drug Administration (the “FDA”). NRX-101 is covered by multiple U.S. and foreign patents, including a Composition of Matter patent (U.S. Patent No. 10,583,138) that was transferred to NRx Pharmaceuticals by Glytech, LLC.</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Liquidity</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As of September 30, 2022, the Company had $18.2 million in cash. Since inception, the Company has experienced net losses and negative cash flows from operations each fiscal year. The Company has no revenues and expects to continue to incur operating losses for the foreseeable future and may never become profitable. The Company is dependent on its ability to continue to raise equity and/or debt financing to continue operations.</w:t>
      </w:r>
    </w:p>
    <w:p>
      <w:pPr>
        <w:spacing w:after="0" w:line="17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November 4, 2022, the Company issued an 9% redeemable promissory note (the “Note”) to Streeterville Capital, LLC, a Utah limited liability company, for an aggregate principal amount of $11,020,000. The Company intends to use the proceeds from such issuance for general corporate purposes. The Note matures 18 months from the date of issuance subject to certain acceleration provisions as noted below. The Note carries an original issue discount of $1,000,000 which was deducted from the principal balance of the Note. The net proceeds from the issuance of the Note was $10,000,000 after transaction costs including the original issue discount, legal and other fees are included.</w:t>
      </w:r>
    </w:p>
    <w:p>
      <w:pPr>
        <w:spacing w:after="0" w:line="97"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The Company has the option to prepay the Note during the term by paying an amount equal to 110% of the principal, interest, and fees owed as of the prepayment date. The noteholder has the right to redeem up to $1,000,000 of the outstanding balance of the Note per month starting on the six-month anniversary of the issue date. Upon any redemption, the Company may make payments at its option in: (i) in cash, (ii) by paying the redemption amount in the form of shares of Common Stock with the number of redemption shares being equal to the portion of the applicable redemption amount divided by the Redemption Conversion Price (as defined below), or (iii) a combination of cash and shares of common stock. The “Redemption Conversion Price” on any given redemption date equals 85% multiplied by the average of the two lowest daily volume weighted average prices per share of the common stock during the ten trading days immediately preceding the date that the noteholder delivers notice electing to redeem a portion of the Note. Beginning May 1, 2023, in the event (a) the daily dollar trading volume of the common stock of the Company on any given trading day is at least fifty percent (50%) greater than the lower of (i) the median daily dollar trading volume over the previous ten (10) trading days or (ii) the daily dollar trading volume on the trading day immediately preceding the date of measurement or (b) if the closing trade price on any given trading day is at least thirty percent (30%) greater than the Nasdaq Minimum Price, then lender will be entitled to redeem over the following ten (10) trading days an amount of indebtedness then outstanding under the Note equal to twice (2x) the monthly redemption amount of $1,000,000 solely by payment by stock, if permitted under the agreement, subject to maximum percentage and other ownership limitations.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Company’s ongoing clinical activities continue to generate losses and net cash outflows from operations. Accordingly, the Company issued the above Note to continue to fund its research activities. The Company believes that it currently has sufficient funds and, if necessary, the ability to reduce expenditures, to support operations through at least the next twelve months from the date the condensed consolidated financial statements are issued. The Company cannot make any assurances that additional financing will be available to it and, if available, on acceptable terms or at all. This could negatively impact the Company’s business and operations and could also lead to the reduction of the Company’s operations.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accompanying unaudited interim condensed financial statements have been prepared in accordance with generally accepted accounting principles in the United States of America (“GAAP”) as determined by the Financial Accounting Standards Board (“FASB”) Accounting Standards Codification (“ASC”) for interim financial information. Accordingly, they do not include all of the information and footnotes required by GAAP for complete financial statements. In the opinion of management, the unaudited interim condensed financial statements reflect all adjustments, which include only normal recurring adjustments, necessary for the fair presentation of the balance sheet, statements of operations and cash flows for the interim periods presented. The results of operations for any interim periods are not necessarily indicative of the results that may be expected for the entire fiscal year or any other interim period.</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Merger was accounted for as a reverse recapitalization in accordance with GAAP (the “Reverse Recapitalization”). Under this method of accounting, BRPA is treated as the “acquired” company and NeuroRx is treated as the acquirer for financial reporting purposes.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Accordingly, for accounting purposes, the Reverse Recapitalization was treated as the equivalent of NeuroRx issuing stock for the net assets of BRPA, accompanied by a recapitalization. The net assets of BRPA are stated at historical cost, with no goodwill or other intangible assets recorded.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consolidated results of operations prior to the Reverse Recapitalization are those of NeuroRx. The shares and corresponding capital amounts and losses per share, prior to the Merger, have been retroactively restated based on shares reflecting the exchange ratio established in the Merger.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preparation of financial statements requires management to make estimates and assumptions that affect the reported amounts of assets, liabilities and expenses and the disclosure of contingent assets and liabilities in its financial statements and the reported amounts of expenses during the reporting period. The most significant estimates in the Company’s financial statements relate to the Earnout Cash liability, valuation of common and preferred stock, stock options, warrants, and the valuation allowance of deferred tax assets resulting from net operating losses.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Certain Risks and Uncertainties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accounting guidance classifies fair value measurements in one of the following three categories for disclosure purposes: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jc w:val="both"/>
        <w:ind w:left="380" w:right="59"/>
        <w:spacing w:after="0" w:line="277" w:lineRule="auto"/>
        <w:rPr>
          <w:sz w:val="20"/>
          <w:szCs w:val="20"/>
          <w:color w:val="auto"/>
        </w:rPr>
      </w:pPr>
      <w:r>
        <w:rPr>
          <w:rFonts w:ascii="Arial" w:cs="Arial" w:eastAsia="Arial" w:hAnsi="Arial"/>
          <w:sz w:val="18"/>
          <w:szCs w:val="18"/>
          <w:color w:val="auto"/>
        </w:rPr>
        <w:t>Level 2: Inputs other than Level 1 prices for similar assets or liabilities that are directly or indirectly observable in the marketplace.</w:t>
      </w:r>
    </w:p>
    <w:p>
      <w:pPr>
        <w:spacing w:after="0" w:line="170" w:lineRule="exact"/>
        <w:rPr>
          <w:sz w:val="20"/>
          <w:szCs w:val="20"/>
          <w:color w:val="auto"/>
        </w:rPr>
      </w:pPr>
    </w:p>
    <w:p>
      <w:pPr>
        <w:jc w:val="both"/>
        <w:ind w:left="380" w:right="59"/>
        <w:spacing w:after="0" w:line="263" w:lineRule="auto"/>
        <w:rPr>
          <w:sz w:val="20"/>
          <w:szCs w:val="20"/>
          <w:color w:val="auto"/>
        </w:rPr>
      </w:pPr>
      <w:r>
        <w:rPr>
          <w:rFonts w:ascii="Arial" w:cs="Arial" w:eastAsia="Arial" w:hAnsi="Arial"/>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 and Off-Balance Sheet Risk</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and cash equivalents. Cash equivalents are occasionally invested in certificates of deposit. The Company maintains each of its cash balances with high-quality and accredited financial institutions and accordingly, such funds are not exposed to unusual credit risk beyond the normal credit risk associated with commercial banking relationships. The Company maintains a portion of its cash and cash equivalent balances in the form of a money market account with a financial institution that management believes to be creditworthy.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time of initial purchase to be cash equivalents, including balances held in the Company’s money market accounts. The Company maintains its cash and cash equivalents with financial institutions, in which balances from time to time may exceed the U.S. federally insured limits. The objectives of the Company’s cash management policy are to safeguard and preserve funds to maintain liquidity sufficient to meet the Company’s cash flow requirements, and to attain a market rate of return.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Company’s research and development expenses consist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For restricted stock awards, the grant date fair value is the fair market value per share as of the grant date based on the closing trading price for the Company’s stock. The Company estimates the fair value of stock option grants using the Black-Scholes option pricing model, and the assumptions used in calculating the fair value of stock-based awards represent management’s best estimates and involve inherent uncertainties and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application of management’s judgment. All stock-based compensation costs are recorded in general and administrative or research and development costs in the consolidated statements of operations based upon the underlying individual’s role at the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Modification of stock options and warrants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 change in any of the terms or conditions of stock options and warrants is accounted for as a modification. For a Type 1 (probable-to-probable) modification, incremental stock-based compensation cost is measured as the excess, if any, of the fair value of the modified option/warrant over the fair value of the original option/warrant immediately before its terms are modified, measured based on the fair value of the shares and other pertinent factors at the modification date. For vested stock options and warrants to board members, we recognize incremental compensation cost in the period the modification occurs. For unvested stock options, we recognize over the remaining requisite service period, the sum of the incremental compensation cost and the remaining unrecognized compensation cost for the original award on the modification date. If the fair value of the modified option is lower than the fair value of the original option immediately before modification, the minimum compensation cost we recognize is the cost of the original award.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 xml:space="preserve">The Company accounts for warrants as either equity-classified or liability-classified instruments based on an assessment of the warrant’s specific terms and applicable authoritative guidance in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(“ASC 480”) and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statements of operations. The fair value of the Placement Warrants was estimated using a Black Scholes valuation approach and the fair value of the Substitute Warrants was estimated using a modified Black Scholes valuation approach which applies a probability factor based on the probabilities of achieving Earnout Cash Milestone and/or Earnout Shares Milestone at each reporting period (see Notes 9 and 11).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Income taxes are recorded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Basic loss per share of common stock is computed by dividing net loss attributable to common stockholders by the weighted average number of shares of common stock outstanding for the period. Diluted earnings per share excludes, when applicable, the potential impact of stock options, common stock warrant shares, and other dilutive instruments when their effect would be anti-dilutive in the respective periods.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46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424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2,654,579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2,388,811</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2,654,579</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2,388,811</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17,521,753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9,305,790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17,521,753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9,305,790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Earnout Shares</w:t>
            </w:r>
          </w:p>
        </w:tc>
        <w:tc>
          <w:tcPr>
            <w:tcW w:w="1080" w:type="dxa"/>
            <w:vAlign w:val="bottom"/>
          </w:tcPr>
          <w:p>
            <w:pPr>
              <w:jc w:val="right"/>
              <w:spacing w:after="0"/>
              <w:rPr>
                <w:sz w:val="20"/>
                <w:szCs w:val="20"/>
                <w:color w:val="auto"/>
              </w:rPr>
            </w:pPr>
            <w:r>
              <w:rPr>
                <w:rFonts w:ascii="Arial" w:cs="Arial" w:eastAsia="Arial" w:hAnsi="Arial"/>
                <w:sz w:val="18"/>
                <w:szCs w:val="18"/>
                <w:color w:val="auto"/>
              </w:rPr>
              <w:t>22,209,280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22,209,280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22,209,280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22,209,280</w:t>
            </w: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Earnout Shares from exercised Substitute Options and</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Substitute Warrants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1,229,925</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1,229,925</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1,229,925</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1,229,925</w:t>
            </w:r>
          </w:p>
        </w:tc>
      </w:tr>
    </w:tbl>
    <w:p>
      <w:pPr>
        <w:spacing w:after="0" w:line="20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Since the closing of the Merger, of the 516,025 shares of common stock issued for the exercise of stock options, 185,472 shares of common stock are contingently issuable Earnout Shares and are excluded from the weighted average shares outstanding for computing EPS until the contingent conditions are satisfied. There are 1,044,453 shares of common stock issued pursuant to the GEM warrants which are contingently issuable Earnout Shares and are excluded from the weighted average shares outstanding for computing EPS until the contingent conditions are satisfied. There are 1,000,000 unvested restricted stock awards which are excluded from the weighted average shares outstanding for computing EPS until such shares become vested.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and are adopted by the Company as of the specified effective date. For the nine-months ended September 30, 2022, there were no new accounting pronouncements or updates to recently issued accounting pronouncements disclosed in the Company’s Annual Report on Form 10-K for the year ended December 31, 2021, that management believes materially affect the Company’s present or future results of operations, overall financial condition, liquidity or disclosures.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Reverse Recapitalization</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As discussed in Note 1, on May 24, 2021 (the “Closing Date”), BRPA and Merger Sub closed the Merger with NeuroRx, as a result of which NeuroRx became a wholly owned subsidiary of BRPA. While BRPA was the legal acquirer of NeuroRx in the Merger, for accounting purposes, the Merger is treated as a Reverse Recapitalization whereby NeuroRx is deemed to be the accounting acquirer and the historical financial statements of NeuroRx became the historical financial statements of BRPA (renamed NRX Pharmaceuticals, Inc.) upon the closing of the Merger. Under this method of accounting, BRPA is treated as the “acquired” company and NeuroRx is treated as the acquirer for financial reporting purposes. Accordingly, for accounting purposes, the Merger was treated as the equivalent of NeuroRx issuing stock for the net assets of BRPA, accompanied by a recapitalization. The net assets of BRPA were stated at historical cost, with no goodwill or other intangible assets recorded.</w:t>
      </w:r>
    </w:p>
    <w:p>
      <w:pPr>
        <w:spacing w:after="0" w:line="18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Pursuant to the Merger Agreement, the aggregate consideration payable to stockholders of NeuroRx at the Closing Date consisted of 50,000,000 shares (“Closing Consideration”) of BRPA common stock (“Common Stock”). At the effective time of the Merger (the “Effective Time”) each share of NeuroRx common stock and each share of the NeuroRx convertible preferred stock that was convertible into a share of NeuroRx common stock at a one-to-one ratio pursuant to the NeuroRx certificate of incorporation, was converted into Common Stock equal to 3.16 shares (the “Exchange Ratio”).</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addition, the stockholders of NeuroRx who owned NeuroRx securities immediately prior to the Effective Time received the contingent right to receive the Earnout Shares and Earnout Cash (each as defined below). At the Effective Time, each outstanding share of NeuroRx common stock, including shares of NeuroRx common stock resulting from the conversion of outstanding shares of NeuroRx preferred stock was converted into the right to receive a pro rata portion of the contingent right to receive a pro rata portion of the Earnout Shares and Earnout Cash after consideration of the Substitute Options and Substitute Warrants (as further discussed below).</w:t>
      </w:r>
    </w:p>
    <w:p>
      <w:pPr>
        <w:spacing w:after="0" w:line="192"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Pursuant to the terms of the Merger Agreement, NeuroRx’s stockholders who owned NeuroRx securities immediately prior to the Effective Time would have the contingent right to receive their pro rata portion of (i) an aggregate of up to 25,000,000 shares of Common Stock (“Earnout Shares”), less 935,608 and 1,920,492, respectively, which are subject to the terms and conditions of the Substitute Options and Substitute Warrants (each as defined below), if, prior to December 31, 2022, the NRX COVID-19 Drug (as defined in the Merger Agreement) receives emergency use authorization by the FDA and NeuroRx submits and the FDA files for review a new drug application for the NRX COVID-19 Drug (the occurrence of the foregoing, the “Earnout Shares Milestone”), and (ii) an aggregate of $100.0 million in cash (“Earnout Cash”) upon the earlier to occur of (x) FDA approval of the NRX COVID-19 Drug and the listing of the NRX COVID-19 Drug in the FDA’s “Orange Book” and (y) FDA approval of the NeuroRx Antidepressant Drug Regimen (i.e., NRX-100/101) and the listing of the NeuroRx Antidepressant Drug Regimen (i.e., NRX-100/101) in the FDA’s “Orange Book,” in each case prior to December 31, 2022 (the occurrence of either of clauses (x) or (y), the “Earnout Cash Milestone”). If the Earnout Shares Milestone is achieved, the Earnout Shares will be issued within five (5) Business Days after the occurrence of the Earnout Shares Milestone. If the Earnout Cash Milestone is achieved, the Merger Agreement does not require the Earnout Cash to be delivered to NeuroRx securityholders within any specified period of time, and the board of directors of NRx Pharmaceuticals will use its good faith judgment to determine the date to pay the Earnout Cash. The Earnout Cash Milestone was recognized as a deemed dividend at the Closing Date and a contingent liability measured at its estimated fair value at the Closing Date and will be remeasured at fair value each period end thereafter until earned or December 31, 2022 (see Note 11). The Earnout Shares Milestone was recognized as a deemed dividend at the Closing date and was classified within equity (see Note 11). The benefit of the contingent right to receive Earnout Cash and Earnout Shares for option and warrant holders occurs through the Option Exchange Ratio (as defined below) and therefore the amount of Earnout Shares and Earnout Cash for common stockholders is approximately 22,209,280 shares and $88.8 million, respectively.</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Each option and warrant of NeuroRx that was outstanding and unexercised immediately prior to the Effective Time (whether vested or unvested) was assumed by BRPA and converted into an option or warrant to acquire an adjusted number of shares of Common Stock at an adjusted exercise price per share, in each case, pursuant to the terms of the Merger Agreement (the “Substitute Options” and the “Substitute Warrants,” respectively), based on an exchange ratio of 4.96:1 (the “Option Exchange Ratio”), and would continue to be governed by substantially the same terms and conditions, including vesting, as were applicable to the original instruments.</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the event that either the Earnout Shares Milestone or the Earnout Cash Milestone does not occur prior to December 31, 2022, each Substitute Option and Substitute Warrant will be automatically adjusted based on the Merger Agreement such that the number of shares of Common Stock subject to each adjusted Substitute Option or Substitute Warrant, the exercise price per share of each adjusted Substitute Option or Substitute Warrant and the aggregate intrinsic value of each adjusted Substitute Option or Substitute Warrant will equal the respective number of shares, exercise price per share and aggregate intrinsic value that would have resulted following the adjustment of the applicable underlying such option or warrant had the conversion of the legacy NeuroRx option and warrants into the Substitute Options or Substitute Warrants been applied using the Exchange Ratio (3.16:1). If neither the Earnout Shares Milestone nor the Earnout Cash Milestone occurs, each Substitute Option and Substitute Warrant will be adjusted based on the Exchange Ratio. If any Substitute Options or Substitute Warrants are exercised prior to the earlier of (i) the date that both the Earnout Shares Milestone and Earnout Cash Milestone occur and (ii) December 31, 2022, a sufficient number of shares of Common Stock will be held in escrow pending the applicable adjustment to such Substitute Options or Substitute Warrants. Following the determination of that adjustment, NRx Pharmaceuticals will retain any shares forfeited by the option or warrant holder in connection with the adjustment and return any remaining shares to the option or warrant holder.</w:t>
      </w:r>
    </w:p>
    <w:p>
      <w:pPr>
        <w:spacing w:after="0" w:line="171"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 connection with the Merger, a number of subscribers (each, a “Subscriber”) purchased from the Company an aggregate of 1,000,000 shares of Common Stock (the “PIPE”), for a purchase price of $10.00 per share and an aggregate purchase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price of $10.0 million (the “PIPE Shares”), pursuant to separate subscription agreements (each, a “Subscription Agreement”) entered into prior to the Closing Date.</w:t>
      </w:r>
    </w:p>
    <w:p>
      <w:pPr>
        <w:spacing w:after="0" w:line="170"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following table reconciles the elements of the Merger to the Unaudited Condensed Consolidated Statement of Cash Flows for the nine months ended September 30, 2021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Recapitalization</w:t>
            </w:r>
          </w:p>
        </w:tc>
      </w:tr>
      <w:tr>
        <w:trPr>
          <w:trHeight w:val="20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 BRPA trust and cash, net of redemptions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Cash - PIPE financing, net of transaction costs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8,100</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transaction costs and advisory fees allocated to NRXP equity</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r>
      <w:tr>
        <w:trPr>
          <w:trHeight w:val="210"/>
        </w:trPr>
        <w:tc>
          <w:tcPr>
            <w:tcW w:w="7240" w:type="dxa"/>
            <w:vAlign w:val="bottom"/>
          </w:tcPr>
          <w:p>
            <w:pPr>
              <w:ind w:left="20"/>
              <w:spacing w:after="0"/>
              <w:rPr>
                <w:sz w:val="20"/>
                <w:szCs w:val="20"/>
                <w:color w:val="auto"/>
              </w:rPr>
            </w:pPr>
            <w:r>
              <w:rPr>
                <w:rFonts w:ascii="Arial" w:cs="Arial" w:eastAsia="Arial" w:hAnsi="Arial"/>
                <w:sz w:val="18"/>
                <w:szCs w:val="18"/>
                <w:color w:val="auto"/>
              </w:rPr>
              <w:t>Effect of Merger, net of redemptions and transaction costs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11,050</w:t>
            </w: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reconciles the elements of the Merger to the Unaudited Condensed Consolidated Statement of Changes in Stockholders’ Equity (Deficit) for the nine months ended September 30, 2021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Recapitalization</w:t>
            </w:r>
          </w:p>
        </w:tc>
      </w:tr>
      <w:tr>
        <w:trPr>
          <w:trHeight w:val="20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 BRPA trust and cash, net of redemptions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Non-cash net working capital assumed from BRPA</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notes payable assumed from BRPA</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Less: fair value of assumed Placement Warrants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(1,984)</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fair value of legacy NeuroRx Warrants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(38,220)</w:t>
            </w: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Less: fair value of Earnout Cash</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(25,520)</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transaction costs and advisory fees allocated to NRXP equity</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r>
      <w:tr>
        <w:trPr>
          <w:trHeight w:val="210"/>
        </w:trPr>
        <w:tc>
          <w:tcPr>
            <w:tcW w:w="7480" w:type="dxa"/>
            <w:vAlign w:val="bottom"/>
          </w:tcPr>
          <w:p>
            <w:pPr>
              <w:ind w:left="20"/>
              <w:spacing w:after="0"/>
              <w:rPr>
                <w:sz w:val="20"/>
                <w:szCs w:val="20"/>
                <w:color w:val="auto"/>
              </w:rPr>
            </w:pPr>
            <w:r>
              <w:rPr>
                <w:rFonts w:ascii="Arial" w:cs="Arial" w:eastAsia="Arial" w:hAnsi="Arial"/>
                <w:sz w:val="18"/>
                <w:szCs w:val="18"/>
                <w:color w:val="auto"/>
              </w:rPr>
              <w:t>Effect of Merger, net of redemptions and transaction costs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(64,836)</w:t>
            </w:r>
          </w:p>
        </w:tc>
      </w:tr>
      <w:tr>
        <w:trPr>
          <w:trHeight w:val="20"/>
        </w:trPr>
        <w:tc>
          <w:tcPr>
            <w:tcW w:w="7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details the number of shares of common stock issued immediately following the consummation of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Merger:</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7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 of Shares</w:t>
            </w:r>
          </w:p>
        </w:tc>
      </w:tr>
      <w:tr>
        <w:trPr>
          <w:trHeight w:val="20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outstanding prior to Merger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552,412</w:t>
            </w:r>
          </w:p>
        </w:tc>
      </w:tr>
      <w:tr>
        <w:trPr>
          <w:trHeight w:val="21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redemption of BRPA shares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0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of BRPA</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552,196</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BRPA Founder and private shares, net of forfeited shares of 875,216</w:t>
            </w:r>
          </w:p>
        </w:tc>
        <w:tc>
          <w:tcPr>
            <w:tcW w:w="1200" w:type="dxa"/>
            <w:vAlign w:val="bottom"/>
          </w:tcPr>
          <w:p>
            <w:pPr>
              <w:jc w:val="right"/>
              <w:spacing w:after="0"/>
              <w:rPr>
                <w:sz w:val="20"/>
                <w:szCs w:val="20"/>
                <w:color w:val="auto"/>
              </w:rPr>
            </w:pPr>
            <w:r>
              <w:rPr>
                <w:rFonts w:ascii="Arial" w:cs="Arial" w:eastAsia="Arial" w:hAnsi="Arial"/>
                <w:sz w:val="18"/>
                <w:szCs w:val="18"/>
                <w:color w:val="auto"/>
              </w:rPr>
              <w:t>1,260,284</w:t>
            </w: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in PIPE Financing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Shares issued for services</w:t>
            </w:r>
          </w:p>
        </w:tc>
        <w:tc>
          <w:tcPr>
            <w:tcW w:w="120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pursuant to conversion of Public and Private Rights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717,250</w:t>
            </w: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color w:val="auto"/>
              </w:rPr>
              <w:t>Merger and PIPE financing shares - common stock</w:t>
            </w:r>
          </w:p>
        </w:tc>
        <w:tc>
          <w:tcPr>
            <w:tcW w:w="1200" w:type="dxa"/>
            <w:vAlign w:val="bottom"/>
          </w:tcPr>
          <w:p>
            <w:pPr>
              <w:jc w:val="right"/>
              <w:spacing w:after="0"/>
              <w:rPr>
                <w:sz w:val="20"/>
                <w:szCs w:val="20"/>
                <w:color w:val="auto"/>
              </w:rPr>
            </w:pPr>
            <w:r>
              <w:rPr>
                <w:rFonts w:ascii="Arial" w:cs="Arial" w:eastAsia="Arial" w:hAnsi="Arial"/>
                <w:sz w:val="18"/>
                <w:szCs w:val="18"/>
                <w:color w:val="auto"/>
              </w:rPr>
              <w:t>3,729,730</w:t>
            </w: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NeuroRx shares - common stock (1)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44,873,855</w:t>
            </w: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color w:val="auto"/>
              </w:rPr>
              <w:t>Total shares of common stock immediately after Merger</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48,603,585</w:t>
            </w:r>
          </w:p>
        </w:tc>
      </w:tr>
      <w:tr>
        <w:trPr>
          <w:trHeight w:val="20"/>
        </w:trPr>
        <w:tc>
          <w:tcPr>
            <w:tcW w:w="7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720" w:right="79" w:hanging="319"/>
        <w:spacing w:after="0" w:line="263"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NeuroRx common stock was determined from the 14,200,586 shares of NeuroRx common stock outstanding immediately prior to the closing of the Merger converted at the Exchange Ratio. All fractional shares were rounded 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Prepaid expenses and other current assets consisted of the following at the dates indicated (in thousands):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840" w:type="dxa"/>
            <w:vAlign w:val="bottom"/>
            <w:gridSpan w:val="4"/>
          </w:tcPr>
          <w:p>
            <w:pPr>
              <w:ind w:left="1480"/>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 2021</w:t>
            </w:r>
          </w:p>
        </w:tc>
      </w:tr>
      <w:tr>
        <w:trPr>
          <w:trHeight w:val="142"/>
        </w:trPr>
        <w:tc>
          <w:tcPr>
            <w:tcW w:w="4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Prepaid insurance</w:t>
            </w:r>
          </w:p>
        </w:tc>
        <w:tc>
          <w:tcPr>
            <w:tcW w:w="16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4,853</w:t>
            </w:r>
          </w:p>
        </w:tc>
        <w:tc>
          <w:tcPr>
            <w:tcW w:w="140" w:type="dxa"/>
            <w:vAlign w:val="bottom"/>
          </w:tcPr>
          <w:p>
            <w:pPr>
              <w:spacing w:after="0"/>
              <w:rPr>
                <w:sz w:val="18"/>
                <w:szCs w:val="18"/>
                <w:color w:val="auto"/>
              </w:rPr>
            </w:pPr>
          </w:p>
        </w:tc>
        <w:tc>
          <w:tcPr>
            <w:tcW w:w="400" w:type="dxa"/>
            <w:vAlign w:val="bottom"/>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3,224</w:t>
            </w: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prepaid expenses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Receivable due from manufacturer</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clinical development expenses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Prepaid legal expenses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manufacturing expenses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09"/>
        </w:trPr>
        <w:tc>
          <w:tcPr>
            <w:tcW w:w="486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14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5,109</w:t>
            </w:r>
          </w:p>
        </w:tc>
      </w:tr>
      <w:tr>
        <w:trPr>
          <w:trHeight w:val="20"/>
        </w:trPr>
        <w:tc>
          <w:tcPr>
            <w:tcW w:w="4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Accrued and Other Current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and other current liabilities consisted of the following at the dates indicated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December 31, 2021</w:t>
            </w:r>
          </w:p>
        </w:tc>
      </w:tr>
      <w:tr>
        <w:trPr>
          <w:trHeight w:val="142"/>
        </w:trPr>
        <w:tc>
          <w:tcPr>
            <w:tcW w:w="4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rPr>
              <w:t>Accrued research and development expenses</w:t>
            </w:r>
          </w:p>
        </w:tc>
        <w:tc>
          <w:tcPr>
            <w:tcW w:w="14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1,624</w:t>
            </w:r>
          </w:p>
        </w:tc>
        <w:tc>
          <w:tcPr>
            <w:tcW w:w="2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employee expenses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rPr>
              <w:t>Professional services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accrued expenses</w:t>
            </w:r>
          </w:p>
        </w:tc>
        <w:tc>
          <w:tcPr>
            <w:tcW w:w="1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Total accrued and other current liabilities</w:t>
            </w:r>
          </w:p>
        </w:tc>
        <w:tc>
          <w:tcPr>
            <w:tcW w:w="13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r>
      <w:tr>
        <w:trPr>
          <w:trHeight w:val="20"/>
        </w:trPr>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b w:val="1"/>
          <w:bCs w:val="1"/>
          <w:color w:val="auto"/>
        </w:rPr>
        <w:t>7. Notes Payable</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Relief Therapeutics Loan</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April 6, 2020, the Company entered into a loan agreement (the “Relief Therapeutics Loan”) with Relief Therapeutics Holding S.A. (“Relief Therapeutics”) in the amount of $0.5 million. The Relief Therapeutics Loan matured on April 6, 2022 and was bearing interest at 2% per annum payable in arrears. The Relief Therapeutics Loan principal and accrued interest were paid in full on April 6, 2022 in the amount of $0.5 million and less than $0.1 million, respectively.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leases office space on a month-to-month basis. The rent expense for the three months ended September 30, 2022 and 2021 was less than $0.1 million and less than $0.1 million, respectively, and for the nine months ended September 30, 2022 and 2021 was less than $0.1 million and $0.1 million,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Sponsored Research Agreement with National Jewish Health</w:t>
      </w:r>
    </w:p>
    <w:p>
      <w:pPr>
        <w:spacing w:after="0" w:line="225" w:lineRule="exact"/>
        <w:rPr>
          <w:sz w:val="20"/>
          <w:szCs w:val="20"/>
          <w:color w:val="auto"/>
        </w:rPr>
      </w:pPr>
    </w:p>
    <w:p>
      <w:pPr>
        <w:jc w:val="both"/>
        <w:ind w:left="60" w:right="79"/>
        <w:spacing w:after="0" w:line="293" w:lineRule="auto"/>
        <w:rPr>
          <w:sz w:val="20"/>
          <w:szCs w:val="20"/>
          <w:color w:val="auto"/>
        </w:rPr>
      </w:pPr>
      <w:r>
        <w:rPr>
          <w:rFonts w:ascii="Arial" w:cs="Arial" w:eastAsia="Arial" w:hAnsi="Arial"/>
          <w:sz w:val="16"/>
          <w:szCs w:val="16"/>
          <w:color w:val="auto"/>
        </w:rPr>
        <w:t>On February 8, 2021, the Company entered into a Sponsored Research Agreement (“Research Agreement”) with National Jewish Health (“NJ Health”), a Colorado not-for-profit institution. Under the terms of the Research Agreement, the Company agreed to sponsor a research study at NJ Health relating to the impact of the Company’s' Aviptadil on propagation of SARS-CoV-2 in alveolar type II cells in vitro (the “Study”). In return for performance of the Study under the Research Agreement, the Company has committed to pay NJ Health approximately $0.4 million upon finalization of the work. As of September 30, 2022, the Company has paid NJ Health $0.3 million of the total committed amount.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Relief Therapeutics Collaboration Agreement</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September 18, 2020, the Company entered into a collaboration agreement (the “Collaboration Agreement”) with Relief Therapeutics for the clinical development and, if approved, the sale of Aviptadil. The Collaboration Agreement provides for funding by Relief Therapeutics of certain clinical trials, formulation and manufacturing of Aviptadil, as well as establishing specified sales territories for each party and share of the profits in those territories for “Product” as defined in the Collaboration Agreement. On October 6, 2021, Relief Therapeutics filed a lawsuit against the Company and its former CEO claiming that the Company failed to honor its obligations under the Collaboration Agreement, which was followed by a counter claim from the Company for breach and repudiation of the Collaboration Agreement by Relief Therapeutics.</w:t>
      </w:r>
    </w:p>
    <w:p>
      <w:pPr>
        <w:spacing w:after="0" w:line="16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 xml:space="preserve">On November 12, 2022, the Company and Relief Therapeutics entered into a Settlement Agreement and an Asset Purchase Agreement (“APA”), which are intended to resolve the parties’ claims. The parties have thirty (30) days to implement the terms of the Settlement Agreement and APA and achieve closing. Upon closing, the parties will dismiss their respective claims. </w:t>
      </w:r>
      <w:r>
        <w:rPr>
          <w:rFonts w:ascii="Arial" w:cs="Arial" w:eastAsia="Arial" w:hAnsi="Arial"/>
          <w:sz w:val="16"/>
          <w:szCs w:val="16"/>
          <w:i w:val="1"/>
          <w:iCs w:val="1"/>
          <w:color w:val="auto"/>
        </w:rPr>
        <w:t>Please See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Section 14 - Subsequent Events</w:t>
      </w:r>
      <w:r>
        <w:rPr>
          <w:rFonts w:ascii="Arial" w:cs="Arial" w:eastAsia="Arial" w:hAnsi="Arial"/>
          <w:sz w:val="16"/>
          <w:szCs w:val="16"/>
          <w:color w:val="auto"/>
        </w:rPr>
        <w:t xml:space="preserve"> </w:t>
      </w:r>
      <w:r>
        <w:rPr>
          <w:rFonts w:ascii="Arial" w:cs="Arial" w:eastAsia="Arial" w:hAnsi="Arial"/>
          <w:sz w:val="16"/>
          <w:szCs w:val="16"/>
          <w:i w:val="1"/>
          <w:iCs w:val="1"/>
          <w:color w:val="auto"/>
        </w:rPr>
        <w:t>for a description of the settlement arrangements.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From time to time the Company is involved in litigation, claims, and other proceedings arising in the ordinary course of business. Litigation and other disputes are inherently unpredictable and subject to substantial uncertainties and unfavorable resolutions could occur.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Subscription Facility Agreement — GEM</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NeuroRx previously entered into a share subscription facility agreement (“GEM Agreement”) with GEM Global Yield LLC SCS and GEM Yield Bahamas Limited (collectively, referred to as “GEM”) with a three-year term which expired in October 2022. Subject to the successful listing of the shares of NeuroRx on an Exchange (any nationally recognized stock exchange or exchange platform in the world on which the Company will list its shares), GEM grants NeuroRx an option to require GEM to subscribe for shares from the Company for up to an aggregate value of approximately $95.6 million. The agreement also included certain provisions which would not meet the U.S. requirements to issue registered shares thus preventing its usage. If NeuroRx was listed or completes a private transaction which results in a change of control of the Company, NeuroRx would issue GEM a warrant and pay a commitment fee of $1.9 million. Absent a listing of NeuroRx shares or a private transaction with a change of control during the three-year term, NeuroRx would have no obligations under the agreement. The reverse merger contemplated by the Merger Agreement would not have resulted in a listing of NeuroRx shares or a change in control.</w:t>
      </w:r>
    </w:p>
    <w:p>
      <w:pPr>
        <w:spacing w:after="0" w:line="18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November 2020, GEM introduced NeuroRx to BRPA. To resolve uncertainties around the application of the GEM Agreement post-Merger, NeuroRx and GEM agreed in March 2021 to issue a warrant to GEM and for the parties to use their good faith efforts to amend the GEM Agreement to meet U.S. requirements to issue registered shares. The warrant was not conditional upon any further events or completion of the merger.</w:t>
      </w:r>
    </w:p>
    <w:p>
      <w:pPr>
        <w:spacing w:after="0" w:line="187"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The warrant was issued March 28, 2021, for 3,329,812 shares of NeuroRx common stock at an exercise price of $3.19 per share (the “GEM Warrant”) and the parties agreed that GEM would immediately partially exercise the warrant for the purchase of 1,496,216 shares (“Initial Exercised Shares”) for $7.5 million. The GEM Warrant will be valid for a period of three years from the date NeuroRx’s stock is listed for trading on a national securities exchange or consummation of a reverse merger transaction of the type contemplated by the Merger Agreement.</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of December 31, 2020, the Company recognized a contingent liability for its obligation to issue to GEM certain equity instruments at a discounted per share price. Specifically, as the amount was deemed probable and estimable at December 31, 2020, NeuroRx recorded a liability and settlement expense of $39.5 million to reflect the fair value of the expected GEM Warrant to be issued. On March 28, 2021, when the GEM Warrant was issued, the Company recorded an additional charge of $21.4 million to reflect the increased fair value of the GEM Warrant on its grant date. Upon issuance, the GEM Warrant was equity classified and was determined to be within the scope of ASC 718, Share-Based Payments (“ASC 718”).</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NeuroRx was required to register the Initial Exercised Shares on (a) the same registration statement on Form S-4 (or such other registration statement, if changed) in connection with the Merger, or (b) such other registration statement in connection with any other transaction which results in a public listing of NeuroRx. In addition, no later than 90 days following the consummation of the Big Rock merger, the Company was required to file with the SEC a registration statement to register under the Securities Act the resale by GEM of all shares issuable under the GEM Warrant other than the Initial Exercised Shares, which was filed with the Company's S-1 in July 2021. The GEM Warrant also includes “piggyback” registration rights.</w:t>
      </w:r>
    </w:p>
    <w:p>
      <w:pPr>
        <w:spacing w:after="0" w:line="195"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The GEM Warrants that were not exercised as of the Merger were modified and became Substitute Warrants (1,833,596 shares, adjusted for the Merger as discussed in Note 11). These Substitute Warrants were liability classified (see Note 9). The changes in fair value of these Substitute Warrants were recognized as a gain or loss in the statement of operations until these Substitute Warrants were exercised in July 2021, at which time they were reclassified to additional paid-in capital.</w:t>
      </w:r>
    </w:p>
    <w:p>
      <w:pPr>
        <w:spacing w:after="0" w:line="15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August 12, 2022, the Company received a demand for arbitration (the “Demand”) from GEM. The Demand claims that the Company’s subsidiary, NeuroRx, failed to satisfy its obligation to pay GEM a commitment fee in the amount of HK$15.0 million (approximately US$1.9 million at current exchange rates) pursuant to the GEM Agreement. NeuroRx expects to vigorously defend its position that payment of the commitment fee is neither due nor owing under the terms of the Agreement.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Upon closing of the Merger, pursuant to the terms of the Second Amended and Restated Certificate of Incorporation, the Company authorized 500,000,000 shares of common stock with a par value $0.001. As discussed in Note 4, we have retroactively adjusted the shares issued and outstanding prior to May 24, 2021 to give effect to the Exchange Ratio established in the Merger Agreement to determine the number of shares of common stock into which they were converted.</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sold 3,238,338 shares of common stock during the three months ended September 30, 2021, and received gross proceeds of $31.1 million.</w:t>
      </w:r>
    </w:p>
    <w:p>
      <w:pPr>
        <w:spacing w:after="0" w:line="170"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Company sold 7,824,727 and 3,642,515 shares of common stock during the nine months ended September 30, 2022 and 2021, respectively, and received gross proceeds of $23.0 million and $39.6 million, respectively.</w:t>
      </w:r>
    </w:p>
    <w:p>
      <w:pPr>
        <w:spacing w:after="0" w:line="14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issued 2,334,370 and 3,830,586 shares of common stock pursuant to warrants and Unit Purchase Options exercised during the three and nine months ended September 30, 2021, and received gross proceeds from the warrant exercise of $9.2 million and from the Unit Purchase Option exercise of $16.7 million, respectively. The Company issued 634,045 and 834,045 shares of common stock for consulting services during the three and nine months ended September 30, 2021, and recognized non-cash consulting expense in general and administrative expenses of $7.9 million and $12.8 million, respectively.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Upon closing of the Merger, pursuant to the terms of the Second Amended and Restated Certificate of Incorporation, the Company authorized 50,000,000 shares of preferred stock with a par value $0.001. The Company has no shares of preferred stock outstanding.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Substitute Warrants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As discussed in Note 4, in connection with the Merger, each warrant of NeuroRx that was outstanding and unexercised immediately prior to the Effective Time (whether vested or unvested) was assumed by BRPA and converted into the Substitute Warrants, based on the Option Exchange Ratio (of 4.96), and will continue to be governed by substantially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same terms and conditions, including vesting, as were applicable to the former warrant. Each Substitute Warrant will be exercisable for a number of whole shares of Common Stock equal to the product of the number of shares of NeuroRx common stock underlying such NeuroRx warrant multiplied by the Option Exchange Ratio, and the per share exercise price of such Substitute Warrant will be equal to the quotient determined by dividing the exercise price per share of NeuroRx common stock by the Option Exchange Ratio. As discussed in Note 4, this ratio incorporates the achievement of the Earnout Shares Milestone and Earnout Cash Milestone. The incremental shares above the Exchange Ratio (of 3.16) upon exercise would be held back pending the outcome of the contingencies and only released if such are achieved. The percentage of total shares of Common Stock subject to each Substitute Warrant that is vested immediately following the Effective Time will equal the percentage of total shares of NeuroRx common stock subject to each NeuroRx warrant that is vested immediately prior to the Effective Time.</w:t>
      </w:r>
    </w:p>
    <w:p>
      <w:pPr>
        <w:spacing w:after="0" w:line="18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the event that either the Earnout Shares Milestone or the Earnout Cash Milestone does not occur prior to December 31, 2022, each Substitute Warrant will be adjusted such that the number of shares of Common Stock subject to each adjusted Substitute Warrant, the exercise price per share of each adjusted Substitute Warrant and the aggregate intrinsic value of each adjusted Substitute Warrant will equal the respective number of shares, exercise price per share and aggregate intrinsic value that would have resulted following the adjustment of the applicable underlying Substitute Warrant had the conversion of NeuroRx warrants into the Substitute Warrants been applied using the Exchange Ratio (3.16:1) as adjusted accordingly to reflect the impact of the respective milestone not being met. If neither the Earnout Shares Milestone nor the Earnout Cash Milestone occurs, each Substitute Warrant will be adjusted based on the Exchange Ratio.</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If any Substitute Warrants are exercised prior to the earlier of (i) the date that both the Earnout Shares Milestone and Earnout Cash Milestone occur and (ii) December 31, 2022, a sufficient number of shares of Common Stock will be held back pending the applicable adjustment to such Substitute Warrants. Following the determination of that adjustment, NRx Pharmaceuticals will retain any shares forfeited by the warrant holder in connection with the adjustment and return any remaining shares to the warrant holder.</w:t>
      </w:r>
    </w:p>
    <w:p>
      <w:pPr>
        <w:spacing w:after="0" w:line="18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Upon the closing of the Merger, all outstanding and unexercised NeuroRx warrants became warrants to purchase an aggregate 4,909,066 shares of the Company’s common stock with an average exercise price of $2.45 per share.</w:t>
      </w:r>
    </w:p>
    <w:p>
      <w:pPr>
        <w:spacing w:after="0" w:line="14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With respect to warrants held by certain members of our Board of Directors, the Substitute Warrants were determined to be within the scope of ASC 718. For the portion of the warrants subject to the base Exchange Ratio (3.16:1), the warrants were fully vested and therefore the incremental fair value of these Substitute Warrants at the date of the modification date was immediately recognized as compensation expense. For the incremental portion of the warrants with a performance-based vesting conditions (i.e., the achievement of the Earnout Cash Milestone and/or Earnout Shares Milestone), the Company determined it was not probable that the Earnout Cash Milestone or Earnout Shares Milestone would be met on the Effective Date and at June 30, 2022 and therefore no expense has been recognized for this portion. Accordingly, the Company will only recognize incremental compensation cost related to the portion of the Substitute Warrants subject to service-based vesting conditions only. The Company will reevaluate the probability of the Earnout Cash Milestone and/or Earnout Shares Milestone being met and recognize any unamortized incremental compensation cost accordingly in the period during which it becomes probable the milestones will be met. The Company recognized incremental compensation in the second quarter of 2021 on the modification date totaling $2.3 million which was recognized in general and administrative in the Unaudited Condensed Consolidated Statement of Operations. Unamortized compensation costs related to performance-based vesting conditions of these Substitute Warrants as of the modification date was $23.8 million.</w:t>
      </w:r>
    </w:p>
    <w:p>
      <w:pPr>
        <w:spacing w:after="0" w:line="171"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For any remaining outstanding warrants, as the warrant holders were no longer providing services at the date of the modification, in accordance with ASC 815, the Company concluded that the provisions in the Merger Agreement related to the Earnout Shares Milestone and the Earnout Cash Milestone and the contingent right to receive additional shares for these provisions precluded these Substitute Warrants from being accounted for as components of equity. As these Substitute Warrants meet the definition of a derivative as contemplated in ASC 815, the Substitute Warrants should be recorded as derivative liabilities on the balance sheet and measured at fair value at inception (on the date of the Merger) and at each reporting date in accordance with ASC 820, Fair Value Measurement, with changes in fair value recognized in the Statements of Operations in the period of change. On May 24, 2021, the Company recorded a warrant liability of $53.3 million for the Substitute Warrants, reclassified out of additional-paid in capital $38.2 million representing the fair value of these NeuroRx warrants immediately before the modification as a result of the Merger, and recognized a loss of</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$15.1 million for the incremental fair value of these Substitute Warrants which is recorded in the Change in fair value of warrant liabilities on the Condensed Consolidated Statement of Operations.</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recognized a loss on the change in fair value of the Substitute Warrants for the three months ended September 30, 2022 of less than $0.1 million and a gain on the change in fair value of the Substitute Warrants for the nine months ended September 30, 2022 of $0.1 million. The Company recognized a loss on the change in fair value of the Substitute Warrants for the three and nine months ended September 30, 2021 of $16.3 million and $0.4 million, respectively. Refer to Note 11 for further discussion of fair value measurement of the warrant liabilities.</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discussed above the GEM Substitute Warrants were exercised in July 2021, and changes in the fair value of the warrant liability through the date of exercise were recognized in the statement of operations and upon exercise any remaining instruments were reclassified to additional paid-in capital and includes associated escrow shares for the contingent earnouts.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fair value of the original NeuroRx warrants and Substitute Warrants as of the Merger Date was determined using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Black-Scholes option-pricing model with the following assumptions for each:</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Original Warrants</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Substitute Warrants</w:t>
            </w:r>
          </w:p>
        </w:tc>
      </w:tr>
      <w:tr>
        <w:trPr>
          <w:trHeight w:val="209"/>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Strike price</w:t>
            </w:r>
          </w:p>
        </w:tc>
        <w:tc>
          <w:tcPr>
            <w:tcW w:w="1160" w:type="dxa"/>
            <w:vAlign w:val="bottom"/>
            <w:tcBorders>
              <w:top w:val="single" w:sz="8" w:color="auto"/>
            </w:tcBorders>
            <w:shd w:val="clear" w:color="auto" w:fill="CCEEFF"/>
          </w:tcPr>
          <w:p>
            <w:pPr>
              <w:jc w:val="center"/>
              <w:ind w:left="73"/>
              <w:spacing w:after="0"/>
              <w:rPr>
                <w:sz w:val="20"/>
                <w:szCs w:val="20"/>
                <w:color w:val="auto"/>
              </w:rPr>
            </w:pPr>
            <w:r>
              <w:rPr>
                <w:rFonts w:ascii="Arial" w:cs="Arial" w:eastAsia="Arial" w:hAnsi="Arial"/>
                <w:sz w:val="18"/>
                <w:szCs w:val="18"/>
                <w:color w:val="auto"/>
                <w:w w:val="90"/>
              </w:rPr>
              <w:t>$7.58-$15.84</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89"/>
              </w:rPr>
              <w:t>$1.53-$3.19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Volatility rate</w:t>
            </w:r>
          </w:p>
        </w:tc>
        <w:tc>
          <w:tcPr>
            <w:tcW w:w="1160" w:type="dxa"/>
            <w:vAlign w:val="bottom"/>
          </w:tcPr>
          <w:p>
            <w:pPr>
              <w:jc w:val="center"/>
              <w:ind w:left="53"/>
              <w:spacing w:after="0"/>
              <w:rPr>
                <w:sz w:val="20"/>
                <w:szCs w:val="20"/>
                <w:color w:val="auto"/>
              </w:rPr>
            </w:pPr>
            <w:r>
              <w:rPr>
                <w:rFonts w:ascii="Arial" w:cs="Arial" w:eastAsia="Arial" w:hAnsi="Arial"/>
                <w:sz w:val="18"/>
                <w:szCs w:val="18"/>
                <w:color w:val="auto"/>
                <w:w w:val="90"/>
              </w:rPr>
              <w:t>80.0%</w:t>
            </w:r>
          </w:p>
        </w:tc>
        <w:tc>
          <w:tcPr>
            <w:tcW w:w="160" w:type="dxa"/>
            <w:vAlign w:val="bottom"/>
          </w:tcPr>
          <w:p>
            <w:pPr>
              <w:spacing w:after="0"/>
              <w:rPr>
                <w:sz w:val="18"/>
                <w:szCs w:val="18"/>
                <w:color w:val="auto"/>
              </w:rPr>
            </w:pPr>
          </w:p>
        </w:tc>
        <w:tc>
          <w:tcPr>
            <w:tcW w:w="1280" w:type="dxa"/>
            <w:vAlign w:val="bottom"/>
          </w:tcPr>
          <w:p>
            <w:pPr>
              <w:jc w:val="center"/>
              <w:ind w:left="53"/>
              <w:spacing w:after="0"/>
              <w:rPr>
                <w:sz w:val="20"/>
                <w:szCs w:val="20"/>
                <w:color w:val="auto"/>
              </w:rPr>
            </w:pPr>
            <w:r>
              <w:rPr>
                <w:rFonts w:ascii="Arial" w:cs="Arial" w:eastAsia="Arial" w:hAnsi="Arial"/>
                <w:sz w:val="18"/>
                <w:szCs w:val="18"/>
                <w:color w:val="auto"/>
                <w:w w:val="90"/>
              </w:rPr>
              <w:t>80.0%</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16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0"/>
              </w:rPr>
              <w:t>0.03%-0.32%</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0"/>
              </w:rPr>
              <w:t>0.03%-0.32%</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160" w:type="dxa"/>
            <w:vAlign w:val="bottom"/>
          </w:tcPr>
          <w:p>
            <w:pPr>
              <w:jc w:val="center"/>
              <w:ind w:left="73"/>
              <w:spacing w:after="0"/>
              <w:rPr>
                <w:sz w:val="20"/>
                <w:szCs w:val="20"/>
                <w:color w:val="auto"/>
              </w:rPr>
            </w:pPr>
            <w:r>
              <w:rPr>
                <w:rFonts w:ascii="Arial" w:cs="Arial" w:eastAsia="Arial" w:hAnsi="Arial"/>
                <w:sz w:val="18"/>
                <w:szCs w:val="18"/>
                <w:color w:val="auto"/>
                <w:w w:val="89"/>
              </w:rPr>
              <w:t>0.57-3.69</w:t>
            </w:r>
          </w:p>
        </w:tc>
        <w:tc>
          <w:tcPr>
            <w:tcW w:w="160" w:type="dxa"/>
            <w:vAlign w:val="bottom"/>
          </w:tcPr>
          <w:p>
            <w:pPr>
              <w:spacing w:after="0"/>
              <w:rPr>
                <w:sz w:val="18"/>
                <w:szCs w:val="18"/>
                <w:color w:val="auto"/>
              </w:rPr>
            </w:pPr>
          </w:p>
        </w:tc>
        <w:tc>
          <w:tcPr>
            <w:tcW w:w="1280" w:type="dxa"/>
            <w:vAlign w:val="bottom"/>
          </w:tcPr>
          <w:p>
            <w:pPr>
              <w:jc w:val="center"/>
              <w:ind w:left="53"/>
              <w:spacing w:after="0"/>
              <w:rPr>
                <w:sz w:val="20"/>
                <w:szCs w:val="20"/>
                <w:color w:val="auto"/>
              </w:rPr>
            </w:pPr>
            <w:r>
              <w:rPr>
                <w:rFonts w:ascii="Arial" w:cs="Arial" w:eastAsia="Arial" w:hAnsi="Arial"/>
                <w:sz w:val="18"/>
                <w:szCs w:val="18"/>
                <w:color w:val="auto"/>
                <w:w w:val="91"/>
              </w:rPr>
              <w:t>0.57-3.69</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3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Assumed Public Warrants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Prior to the Merger, the Company had 3,450,000 Public Warrants outstanding. Each Public Warrant entitles the holder to purchase one share of Common Stock at an exercise price of $11.50 per share. The Public Warrants became exercisable at the Effective Time and expire five years after the Effective Time or earlier upon their redemption or liquidation of the Company.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any time during the exercise period;</w:t>
      </w:r>
    </w:p>
    <w:p>
      <w:pPr>
        <w:spacing w:after="0" w:line="144"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157"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 and</w:t>
      </w:r>
    </w:p>
    <w:p>
      <w:pPr>
        <w:spacing w:after="0" w:line="11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8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Certain of the above conditions have not been met to redeem the Public Warrants. If the Company calls the Public Warrants for redemption, management will have the option to require all holders that wish to exercise the Public Warrants to do so on a “cashless basis,” as described in the warrant agreement.</w:t>
      </w:r>
    </w:p>
    <w:p>
      <w:pPr>
        <w:spacing w:after="0" w:line="18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exercise price and number of shares of common stock issuable upon exercise of the warrants may be adjusted in certain circumstances including in the event of a stock dividend, or recapitalization, reorganization, merger or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consolidation. However, the warrants will not be adjusted for issuance of common stock at a price below its exercise price.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Additionally, in no event will the Company be required to net cash settle the warrants.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three and nine months ended September 30, 2022, no Public Warrants were exercised.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Assumed Placement Warrants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Prior to the Merger, the Company had outstanding 136,250 Placement Warrants. The Placement Warrants are identical to the Public Warrants except that the Placement Warrants (i) are not redeemable by the Company and (ii) may be exercised for cash or on a cashless basis, so long as they are held by the initial purchaser or any of its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6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Placement Warrants are not indexed to the Company’s common shares in the manner contemplated by ASC 815-40-15 because the holder of the instrument is not an input into the pricing of a fixed-for-fixed option on equity shares. The Company classifies the Placement Warrants as derivative liabilities in its Unaudited Condensed Consolidated Balance Sheet as of September 30, 2022. The Company measures the fair value of the warrants at the end of each reporting period and recognizes changes in the fair value from the prior period in the Company’s operating results for the current period.</w:t>
      </w:r>
    </w:p>
    <w:p>
      <w:pPr>
        <w:spacing w:after="0" w:line="16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recognized a gain on the change in fair value of the Placement Warrants for the three months ended September 30, 2022 and a loss on the change in fair value of the Placement Warrants for the three months ended September 30, 2021 of less than $0.1 million and $0.3 million, respectively. The Company recognized a gain on the change in fair value of the Placement Warrants for the nine months ended September 30, 2022 and 2021 of $0.2 million and $1.2 million, respectively. Refer to Note 11 for discussion of fair value measurement of the warrant liabilities.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the activity for all warrants for the respective periods.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Aggregate</w:t>
            </w:r>
          </w:p>
        </w:tc>
      </w:tr>
      <w:tr>
        <w:trPr>
          <w:trHeight w:val="216"/>
        </w:trPr>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Intrinsic Value</w:t>
            </w:r>
          </w:p>
        </w:tc>
      </w:tr>
      <w:tr>
        <w:trPr>
          <w:trHeight w:val="201"/>
        </w:trPr>
        <w:tc>
          <w:tcPr>
            <w:tcW w:w="406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Warrants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(in thousands)</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9,305,790</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r>
      <w:tr>
        <w:trPr>
          <w:trHeight w:val="210"/>
        </w:trPr>
        <w:tc>
          <w:tcPr>
            <w:tcW w:w="4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Issued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8,215,963</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17,521,753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Investment Options (included in above warrants table)</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February 2, 2022, the Company completed a private placement and issued 7,824,727 shares of common stock and Preferred Investment Options to purchase up to an aggregate of 7,824,727 shares of common stock. The Preferred Investment Options have an exercise price of $3.07 per share and may be exercised any time on or after August 2, 2022.</w:t>
      </w:r>
    </w:p>
    <w:p>
      <w:pPr>
        <w:spacing w:after="0" w:line="8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form of the Preferred Investment Option is a warrant. The measurement of fair value was determined utilizing a Black-Scholes model considering all relevant assumptions current at February 2, 2022, the date of issuance (i.e., share price of $2.94, exercise price of $3.07, term of five years beginning August 2, 2022, volatility of 82.8%, risk-free rate of 1.60%, and expected dividend rate of 0%). The grant date fair value of these Preferred Investment Options was estimated to be $15.5 million on February 2, 2022 and is reflected within additional paid-in capital as of June 30, 2022.</w:t>
      </w:r>
    </w:p>
    <w:p>
      <w:pPr>
        <w:spacing w:after="0" w:line="10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addition, on February 2, 2022, the Company issued fully vested Preferred Investment Options to the placement agent with an exercise price of $3.99. As these Preferred Investment Options were issued for services provided in facilitating the private placement, the Company recorded the fair value of such Preferred Investment Options as a cost of capital on the issuance date. The measurement of fair value was determined utilizing a Black-Scholes model considering all relevant assumptions current at February 2, 2022, the date of issuance (i.e., share price of $2.94, exercise price of $3.99, term of five years beginning August 2, 2022, volatility of 82.8%, risk-free rate of 1.60%, and expected dividend rate of 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Omnibus Incentive Plan</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Prior to the Merger, NeuroRx maintained its 2016 Omnibus Incentive Plan (the “2016 Plan”), under which NeuroRx granted incentive stock options, restricted stock awards, other stock-based awards, or other cash-based awards to employees, directors, and non-employee consultants. The maximum aggregate shares of common stock that were subject to awards and issuable under the 2016 Plan was 3,472,000.</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(the “Substitute Options”), based on the Option Exchange Ratio (of 4.96), and will continue to be governed by substantially the same terms and conditions, including vesting, as were applicable to the former option. Each Substitute Option will be exercisable for a number of whole shares of Common Stock equal to the product of the number of shares of NeuroRx common stock underlying such NeuroRx option multiplied by the Option Exchange Ratio, and the per share exercise price of such Substitute Option will be equal to the quotient determined by dividing the exercise price per share of NeuroRx common stock by the Option Exchange Ratio. As discussed in Note 4, this ratio incorporates the achievement of the Earnout Shares Milestone and Earnout Cash Milestone. The incremental shares above the Exchange Ratio (of 3.16) upon exercise would be held back pending the outcome of the contingencies and only released if such are achieved. The percentage of total shares of Common Stock subject to each Substitute Option that is vested immediately following the Effective Time will equal the percentage of total shares of NeuroRx common stock subject to each NeuroRx option that is vested immediately prior to the Effective Time.</w:t>
      </w:r>
    </w:p>
    <w:p>
      <w:pPr>
        <w:spacing w:after="0" w:line="17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the event that either the Earnout Shares Milestone or the Earnout Cash Milestone does not occur prior to December 31, 2022, each Substitute Option will be adjusted such that the number of shares of Common Stock subject to each adjusted Substitute Option, the exercise price per share of each adjusted Substitute Option and the aggregate intrinsic value of each adjusted Substitute Option will equal the respective number of shares, exercise price per share and aggregate intrinsic value that would have resulted following the adjustment of the applicable underlying Substitute Option had the conversion of NeuroRx options into the Substitute Options been applied using the Exchange Ratio as adjusted accordingly to reflect the impact of the respective milestone not being met. If neither the Earnout Shares Milestone nor the Earnout Cash Milestone occurs, each Substitute Option will be adjusted based on the Exchange Ratio.</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stated in the Merger Agreement, if any Substitute Options are exercised prior to the earlier of (i) the date that both the Earnout Shares Milestone and Earnout Cash Milestone occur and (ii) December 31, 2022, a sufficient number of shares of Common Stock will be held back pending the applicable adjustment to such Substitute Options. Following the determination of that adjustment, NRx Pharmaceuticals will retain any shares forfeited by the option holder in connection with the adjustment and return any remaining shares to the option holder.</w:t>
      </w:r>
    </w:p>
    <w:p>
      <w:pPr>
        <w:spacing w:after="0" w:line="18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Upon the closing of the Merger, the outstanding and unexercised NeuroRx stock options became options to purchase an aggregate 2,895,423 shares of the Company’s Common Stock at an average exercise price of $5.10 per share. The Company accounted for the Substitute Options as a modification of the existing options. Incremental compensation costs, measured as the excess, if any, of the fair value of the modified options over the fair value of the original options immediately before its terms are modified, is measured based on the fair value of the underlying shares and other pertinent factors at the modification date. The fair value of the original NeuroRx options and Substitute Options was determined using the Black-Scholes option-pricing model with the following assumptions for each: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Original Options</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Substitute Options</w:t>
            </w:r>
          </w:p>
        </w:tc>
      </w:tr>
      <w:tr>
        <w:trPr>
          <w:trHeight w:val="210"/>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Strike price</w:t>
            </w:r>
          </w:p>
        </w:tc>
        <w:tc>
          <w:tcPr>
            <w:tcW w:w="1140" w:type="dxa"/>
            <w:vAlign w:val="bottom"/>
            <w:tcBorders>
              <w:top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90"/>
              </w:rPr>
              <w:t>$1.00-$72.30</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90"/>
              </w:rPr>
              <w:t>$0.20-$14.58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Volatility rate</w:t>
            </w:r>
          </w:p>
        </w:tc>
        <w:tc>
          <w:tcPr>
            <w:tcW w:w="1140" w:type="dxa"/>
            <w:vAlign w:val="bottom"/>
          </w:tcPr>
          <w:p>
            <w:pPr>
              <w:jc w:val="center"/>
              <w:ind w:left="33"/>
              <w:spacing w:after="0"/>
              <w:rPr>
                <w:sz w:val="20"/>
                <w:szCs w:val="20"/>
                <w:color w:val="auto"/>
              </w:rPr>
            </w:pPr>
            <w:r>
              <w:rPr>
                <w:rFonts w:ascii="Arial" w:cs="Arial" w:eastAsia="Arial" w:hAnsi="Arial"/>
                <w:sz w:val="18"/>
                <w:szCs w:val="18"/>
                <w:color w:val="auto"/>
                <w:w w:val="90"/>
              </w:rPr>
              <w:t>80.0%</w:t>
            </w:r>
          </w:p>
        </w:tc>
        <w:tc>
          <w:tcPr>
            <w:tcW w:w="160" w:type="dxa"/>
            <w:vAlign w:val="bottom"/>
          </w:tcPr>
          <w:p>
            <w:pPr>
              <w:spacing w:after="0"/>
              <w:rPr>
                <w:sz w:val="18"/>
                <w:szCs w:val="18"/>
                <w:color w:val="auto"/>
              </w:rPr>
            </w:pPr>
          </w:p>
        </w:tc>
        <w:tc>
          <w:tcPr>
            <w:tcW w:w="1180" w:type="dxa"/>
            <w:vAlign w:val="bottom"/>
          </w:tcPr>
          <w:p>
            <w:pPr>
              <w:jc w:val="center"/>
              <w:ind w:left="53"/>
              <w:spacing w:after="0"/>
              <w:rPr>
                <w:sz w:val="20"/>
                <w:szCs w:val="20"/>
                <w:color w:val="auto"/>
              </w:rPr>
            </w:pPr>
            <w:r>
              <w:rPr>
                <w:rFonts w:ascii="Arial" w:cs="Arial" w:eastAsia="Arial" w:hAnsi="Arial"/>
                <w:sz w:val="18"/>
                <w:szCs w:val="18"/>
                <w:color w:val="auto"/>
                <w:w w:val="93"/>
              </w:rPr>
              <w:t>80.0%</w:t>
            </w: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14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2"/>
              </w:rPr>
              <w:t>0.07%-0.79%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2"/>
              </w:rPr>
              <w:t>0.07%-0.79%</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140" w:type="dxa"/>
            <w:vAlign w:val="bottom"/>
          </w:tcPr>
          <w:p>
            <w:pPr>
              <w:jc w:val="center"/>
              <w:ind w:left="53"/>
              <w:spacing w:after="0"/>
              <w:rPr>
                <w:sz w:val="20"/>
                <w:szCs w:val="20"/>
                <w:color w:val="auto"/>
              </w:rPr>
            </w:pPr>
            <w:r>
              <w:rPr>
                <w:rFonts w:ascii="Arial" w:cs="Arial" w:eastAsia="Arial" w:hAnsi="Arial"/>
                <w:sz w:val="18"/>
                <w:szCs w:val="18"/>
                <w:color w:val="auto"/>
                <w:w w:val="89"/>
              </w:rPr>
              <w:t>0.18-5.99</w:t>
            </w:r>
          </w:p>
        </w:tc>
        <w:tc>
          <w:tcPr>
            <w:tcW w:w="160" w:type="dxa"/>
            <w:vAlign w:val="bottom"/>
          </w:tcPr>
          <w:p>
            <w:pPr>
              <w:spacing w:after="0"/>
              <w:rPr>
                <w:sz w:val="18"/>
                <w:szCs w:val="18"/>
                <w:color w:val="auto"/>
              </w:rPr>
            </w:pPr>
          </w:p>
        </w:tc>
        <w:tc>
          <w:tcPr>
            <w:tcW w:w="1180" w:type="dxa"/>
            <w:vAlign w:val="bottom"/>
          </w:tcPr>
          <w:p>
            <w:pPr>
              <w:jc w:val="center"/>
              <w:ind w:left="53"/>
              <w:spacing w:after="0"/>
              <w:rPr>
                <w:sz w:val="20"/>
                <w:szCs w:val="20"/>
                <w:color w:val="auto"/>
              </w:rPr>
            </w:pPr>
            <w:r>
              <w:rPr>
                <w:rFonts w:ascii="Arial" w:cs="Arial" w:eastAsia="Arial" w:hAnsi="Arial"/>
                <w:sz w:val="18"/>
                <w:szCs w:val="18"/>
                <w:color w:val="auto"/>
                <w:w w:val="89"/>
              </w:rPr>
              <w:t>0.18-5.99</w:t>
            </w: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3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79"/>
        <w:spacing w:after="0" w:line="272" w:lineRule="auto"/>
        <w:rPr>
          <w:sz w:val="20"/>
          <w:szCs w:val="20"/>
          <w:color w:val="auto"/>
        </w:rPr>
      </w:pPr>
      <w:r>
        <w:rPr>
          <w:rFonts w:ascii="Arial" w:cs="Arial" w:eastAsia="Arial" w:hAnsi="Arial"/>
          <w:sz w:val="17"/>
          <w:szCs w:val="17"/>
          <w:color w:val="auto"/>
        </w:rPr>
        <w:t>The Substitute Options contain both service-based and performance-based vesting conditions (i.e., the achievement of the Earnout Cash Milestone and/or Earnout Shares Milestone). The Company determined it was not probable that the Earnout Cash Milestone or Earnout Shares Milestone would be met on the Effective Date and at September 30, 2022. Accordingly, the Company will only recognize incremental compensation cost related to the portion of the Substitute Options subject to service-based vesting conditions only. The Company will reevaluate the probability of the Earnout Cash Milestone and/or Earnout Shares Milestone being met and recognize any unamortized incremental compensation cost accordingly in the period during which it becomes probable the milestones will be met.</w:t>
      </w:r>
    </w:p>
    <w:p>
      <w:pPr>
        <w:spacing w:after="0" w:line="17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unvested Substitute Options, the Company will recognize incremental compensation over the remaining requisite service period, the sum of the incremental compensation cost and the remaining unrecognized compensation cost for the original award on the modification date, taking into consideration the probability of the achievement of the Earnout Cash Milestone and/or Earnout Shares Milestone. Incremental compensation costs related to unvested Substitute Options as of the modification date was $25.9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 xml:space="preserve">At the Effective Time, the Company adopted the 2021 Omnibus Incentive Plan (the “2021 Plan”). As of September 30, 2022, 6,049,178 shares of Common Stock are authorized for issuance pursuant to awards under the 2021 Plan. As of January 1, 2022, 676,129 shares were added to the 2021 Plan under </w:t>
      </w:r>
      <w:r>
        <w:rPr>
          <w:rFonts w:ascii="Arial" w:cs="Arial" w:eastAsia="Arial" w:hAnsi="Arial"/>
          <w:sz w:val="16"/>
          <w:szCs w:val="16"/>
          <w:color w:val="231F20"/>
        </w:rPr>
        <w:t>an evergreen feature that automatically increases the</w:t>
      </w:r>
      <w:r>
        <w:rPr>
          <w:rFonts w:ascii="Arial" w:cs="Arial" w:eastAsia="Arial" w:hAnsi="Arial"/>
          <w:sz w:val="16"/>
          <w:szCs w:val="16"/>
          <w:color w:val="auto"/>
        </w:rPr>
        <w:t xml:space="preserve"> </w:t>
      </w:r>
      <w:r>
        <w:rPr>
          <w:rFonts w:ascii="Arial" w:cs="Arial" w:eastAsia="Arial" w:hAnsi="Arial"/>
          <w:sz w:val="16"/>
          <w:szCs w:val="16"/>
          <w:color w:val="231F20"/>
        </w:rPr>
        <w:t xml:space="preserve">reserve with additional shares of Common Stock for future 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 </w:t>
      </w:r>
      <w:r>
        <w:rPr>
          <w:rFonts w:ascii="Arial" w:cs="Arial" w:eastAsia="Arial" w:hAnsi="Arial"/>
          <w:sz w:val="16"/>
          <w:szCs w:val="16"/>
          <w:color w:val="000000"/>
        </w:rPr>
        <w:t>The Substitute Options do not reduce the number of shares authorized for grant under the 2021 Plan. As of</w:t>
      </w:r>
      <w:r>
        <w:rPr>
          <w:rFonts w:ascii="Arial" w:cs="Arial" w:eastAsia="Arial" w:hAnsi="Arial"/>
          <w:sz w:val="16"/>
          <w:szCs w:val="16"/>
          <w:color w:val="231F20"/>
        </w:rPr>
        <w:t xml:space="preserve"> </w:t>
      </w:r>
      <w:r>
        <w:rPr>
          <w:rFonts w:ascii="Arial" w:cs="Arial" w:eastAsia="Arial" w:hAnsi="Arial"/>
          <w:sz w:val="16"/>
          <w:szCs w:val="16"/>
          <w:color w:val="000000"/>
        </w:rPr>
        <w:t>September 30, 2022, 4,821,754 shares have been awarded and 1,227,424 shares remain available for issuance under the 2021 Plan. The 2021 Plan permits the granting of incentive stock options, restricted stock awards, other stock-based award or other cash-based awards to employees, directors, and non-employee consultants.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Option Awards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as well as historical volatility of a publicly traded set of peer companies.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 New Drug Application (NDA) by the FDA for NRX-101, or b) immediately preceding a change in control of the Company, whichever occurs first.</w:t>
      </w:r>
    </w:p>
    <w:p>
      <w:pPr>
        <w:spacing w:after="0" w:line="18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grant date fair value of employee and non-employee stock option awards is determined using the Black Scholes option-pricing model. The following assumptions were used during the following periods: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2022</w:t>
            </w: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December 31, 2021</w:t>
            </w:r>
          </w:p>
        </w:tc>
      </w:tr>
      <w:tr>
        <w:trPr>
          <w:trHeight w:val="142"/>
        </w:trPr>
        <w:tc>
          <w:tcPr>
            <w:tcW w:w="32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4080" w:type="dxa"/>
            <w:vAlign w:val="bottom"/>
            <w:gridSpan w:val="2"/>
            <w:shd w:val="clear" w:color="auto" w:fill="CCEEFF"/>
          </w:tcPr>
          <w:p>
            <w:pPr>
              <w:jc w:val="center"/>
              <w:ind w:left="2890"/>
              <w:spacing w:after="0"/>
              <w:rPr>
                <w:sz w:val="20"/>
                <w:szCs w:val="20"/>
                <w:color w:val="auto"/>
              </w:rPr>
            </w:pPr>
            <w:r>
              <w:rPr>
                <w:rFonts w:ascii="Arial" w:cs="Arial" w:eastAsia="Arial" w:hAnsi="Arial"/>
                <w:sz w:val="18"/>
                <w:szCs w:val="18"/>
                <w:color w:val="auto"/>
                <w:w w:val="89"/>
              </w:rPr>
              <w:t>$0.51-$3.10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0"/>
              </w:rPr>
              <w:t>$6.44-$23.41</w:t>
            </w:r>
          </w:p>
        </w:tc>
        <w:tc>
          <w:tcPr>
            <w:tcW w:w="20" w:type="dxa"/>
            <w:vAlign w:val="bottom"/>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Risk-free rate of interest</w:t>
            </w:r>
          </w:p>
        </w:tc>
        <w:tc>
          <w:tcPr>
            <w:tcW w:w="4080" w:type="dxa"/>
            <w:vAlign w:val="bottom"/>
            <w:gridSpan w:val="2"/>
          </w:tcPr>
          <w:p>
            <w:pPr>
              <w:jc w:val="center"/>
              <w:ind w:left="2890"/>
              <w:spacing w:after="0"/>
              <w:rPr>
                <w:sz w:val="20"/>
                <w:szCs w:val="20"/>
                <w:color w:val="auto"/>
              </w:rPr>
            </w:pPr>
            <w:r>
              <w:rPr>
                <w:rFonts w:ascii="Arial" w:cs="Arial" w:eastAsia="Arial" w:hAnsi="Arial"/>
                <w:sz w:val="18"/>
                <w:szCs w:val="18"/>
                <w:color w:val="auto"/>
                <w:w w:val="90"/>
              </w:rPr>
              <w:t>1.80%-3.62%</w:t>
            </w:r>
          </w:p>
        </w:tc>
        <w:tc>
          <w:tcPr>
            <w:tcW w:w="240" w:type="dxa"/>
            <w:vAlign w:val="bottom"/>
          </w:tcPr>
          <w:p>
            <w:pPr>
              <w:spacing w:after="0"/>
              <w:rPr>
                <w:sz w:val="18"/>
                <w:szCs w:val="18"/>
                <w:color w:val="auto"/>
              </w:rPr>
            </w:pPr>
          </w:p>
        </w:tc>
        <w:tc>
          <w:tcPr>
            <w:tcW w:w="1300" w:type="dxa"/>
            <w:vAlign w:val="bottom"/>
          </w:tcPr>
          <w:p>
            <w:pPr>
              <w:jc w:val="center"/>
              <w:ind w:left="93"/>
              <w:spacing w:after="0"/>
              <w:rPr>
                <w:sz w:val="20"/>
                <w:szCs w:val="20"/>
                <w:color w:val="auto"/>
              </w:rPr>
            </w:pPr>
            <w:r>
              <w:rPr>
                <w:rFonts w:ascii="Arial" w:cs="Arial" w:eastAsia="Arial" w:hAnsi="Arial"/>
                <w:sz w:val="18"/>
                <w:szCs w:val="18"/>
                <w:color w:val="auto"/>
                <w:w w:val="92"/>
              </w:rPr>
              <w:t>0.69%-1.45%</w:t>
            </w:r>
          </w:p>
        </w:tc>
        <w:tc>
          <w:tcPr>
            <w:tcW w:w="20" w:type="dxa"/>
            <w:vAlign w:val="bottom"/>
          </w:tcPr>
          <w:p>
            <w:pPr>
              <w:spacing w:after="0"/>
              <w:rPr>
                <w:sz w:val="18"/>
                <w:szCs w:val="18"/>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4080" w:type="dxa"/>
            <w:vAlign w:val="bottom"/>
            <w:gridSpan w:val="2"/>
            <w:shd w:val="clear" w:color="auto" w:fill="CCEEFF"/>
          </w:tcPr>
          <w:p>
            <w:pPr>
              <w:jc w:val="center"/>
              <w:ind w:left="2870"/>
              <w:spacing w:after="0"/>
              <w:rPr>
                <w:sz w:val="20"/>
                <w:szCs w:val="20"/>
                <w:color w:val="auto"/>
              </w:rPr>
            </w:pPr>
            <w:r>
              <w:rPr>
                <w:rFonts w:ascii="Arial" w:cs="Arial" w:eastAsia="Arial" w:hAnsi="Arial"/>
                <w:sz w:val="18"/>
                <w:szCs w:val="18"/>
                <w:color w:val="auto"/>
                <w:w w:val="90"/>
              </w:rPr>
              <w:t>5.45-6.5</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0"/>
              </w:rPr>
              <w:t>5.25-6.5</w:t>
            </w:r>
          </w:p>
        </w:tc>
        <w:tc>
          <w:tcPr>
            <w:tcW w:w="20" w:type="dxa"/>
            <w:vAlign w:val="bottom"/>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4080" w:type="dxa"/>
            <w:vAlign w:val="bottom"/>
            <w:gridSpan w:val="2"/>
          </w:tcPr>
          <w:p>
            <w:pPr>
              <w:jc w:val="center"/>
              <w:ind w:left="2870"/>
              <w:spacing w:after="0"/>
              <w:rPr>
                <w:sz w:val="20"/>
                <w:szCs w:val="20"/>
                <w:color w:val="auto"/>
              </w:rPr>
            </w:pPr>
            <w:r>
              <w:rPr>
                <w:rFonts w:ascii="Arial" w:cs="Arial" w:eastAsia="Arial" w:hAnsi="Arial"/>
                <w:sz w:val="18"/>
                <w:szCs w:val="18"/>
                <w:color w:val="auto"/>
                <w:w w:val="91"/>
              </w:rPr>
              <w:t>94.9%-147.8%</w:t>
            </w:r>
          </w:p>
        </w:tc>
        <w:tc>
          <w:tcPr>
            <w:tcW w:w="240" w:type="dxa"/>
            <w:vAlign w:val="bottom"/>
          </w:tcPr>
          <w:p>
            <w:pPr>
              <w:spacing w:after="0"/>
              <w:rPr>
                <w:sz w:val="18"/>
                <w:szCs w:val="18"/>
                <w:color w:val="auto"/>
              </w:rPr>
            </w:pPr>
          </w:p>
        </w:tc>
        <w:tc>
          <w:tcPr>
            <w:tcW w:w="1300" w:type="dxa"/>
            <w:vAlign w:val="bottom"/>
          </w:tcPr>
          <w:p>
            <w:pPr>
              <w:jc w:val="center"/>
              <w:ind w:left="93"/>
              <w:spacing w:after="0"/>
              <w:rPr>
                <w:sz w:val="20"/>
                <w:szCs w:val="20"/>
                <w:color w:val="auto"/>
              </w:rPr>
            </w:pPr>
            <w:r>
              <w:rPr>
                <w:rFonts w:ascii="Arial" w:cs="Arial" w:eastAsia="Arial" w:hAnsi="Arial"/>
                <w:sz w:val="18"/>
                <w:szCs w:val="18"/>
                <w:color w:val="auto"/>
                <w:w w:val="92"/>
              </w:rPr>
              <w:t>80.0%-85.9%</w:t>
            </w:r>
          </w:p>
        </w:tc>
        <w:tc>
          <w:tcPr>
            <w:tcW w:w="20" w:type="dxa"/>
            <w:vAlign w:val="bottom"/>
          </w:tcPr>
          <w:p>
            <w:pPr>
              <w:spacing w:after="0"/>
              <w:rPr>
                <w:sz w:val="18"/>
                <w:szCs w:val="18"/>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8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648"/>
        </w:trPr>
        <w:tc>
          <w:tcPr>
            <w:tcW w:w="3280" w:type="dxa"/>
            <w:vAlign w:val="bottom"/>
          </w:tcPr>
          <w:p>
            <w:pPr>
              <w:spacing w:after="0"/>
              <w:rPr>
                <w:sz w:val="24"/>
                <w:szCs w:val="24"/>
                <w:color w:val="auto"/>
              </w:rPr>
            </w:pPr>
          </w:p>
        </w:tc>
        <w:tc>
          <w:tcPr>
            <w:tcW w:w="2800" w:type="dxa"/>
            <w:vAlign w:val="bottom"/>
          </w:tcPr>
          <w:p>
            <w:pPr>
              <w:jc w:val="right"/>
              <w:ind w:right="1430"/>
              <w:spacing w:after="0"/>
              <w:rPr>
                <w:sz w:val="20"/>
                <w:szCs w:val="20"/>
                <w:color w:val="auto"/>
              </w:rPr>
            </w:pPr>
            <w:r>
              <w:rPr>
                <w:rFonts w:ascii="Arial" w:cs="Arial" w:eastAsia="Arial" w:hAnsi="Arial"/>
                <w:sz w:val="18"/>
                <w:szCs w:val="18"/>
                <w:color w:val="auto"/>
              </w:rPr>
              <w:t>22</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summarizes the Company’s employee and non-employee stock option activity under the Plan for the following periods: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Weighted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8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840" w:type="dxa"/>
            <w:vAlign w:val="bottom"/>
          </w:tcPr>
          <w:p>
            <w:pPr>
              <w:jc w:val="right"/>
              <w:ind w:right="153"/>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exercise price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term (years)</w:t>
            </w:r>
          </w:p>
        </w:tc>
        <w:tc>
          <w:tcPr>
            <w:tcW w:w="2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2,400,315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552,000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Outstanding as of March 31, 2022</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2,906,948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Granted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(550,833)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2,706,115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80,000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(131,536)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September 30, 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2,654,579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vested and exercisable as of September 30,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1,064,852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weighted average grant date fair value per share for employee stock and non-employee option grants during the three and nine months ended September 30, 2022, was $0.64 and $1.55. The weighted average grant date fair value per share for employee stock and non-employee option grants during the three months ended and nine months ended September 30, 2021, was $9.80 and $16.53 respectively. At September 30, 2022, the total unrecognized compensation related to unvested employee and non-employee stock option awards granted, including unrecognized compensation costs related to Substitute Options of $25.9 million, was $27.5 million, of which the Company expects to recognize $3.0 million over a weighted-average period of approximately 1.7 years.</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summarizes the Company’s recognition of stock-based compensation for the following periods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2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2"/>
              </w:rPr>
              <w:t>Three months ended September 30,</w:t>
            </w:r>
          </w:p>
        </w:tc>
        <w:tc>
          <w:tcPr>
            <w:tcW w:w="160" w:type="dxa"/>
            <w:vAlign w:val="bottom"/>
          </w:tcPr>
          <w:p>
            <w:pPr>
              <w:spacing w:after="0"/>
              <w:rPr>
                <w:sz w:val="14"/>
                <w:szCs w:val="14"/>
                <w:color w:val="auto"/>
              </w:rPr>
            </w:pPr>
          </w:p>
        </w:tc>
        <w:tc>
          <w:tcPr>
            <w:tcW w:w="21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43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506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5,779</w:t>
            </w: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541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1,560</w:t>
            </w:r>
          </w:p>
        </w:tc>
        <w:tc>
          <w:tcPr>
            <w:tcW w:w="260" w:type="dxa"/>
            <w:vAlign w:val="bottom"/>
            <w:gridSpan w:val="2"/>
          </w:tcPr>
          <w:p>
            <w:pPr>
              <w:ind w:left="16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6,215</w:t>
            </w:r>
          </w:p>
        </w:tc>
      </w:tr>
      <w:tr>
        <w:trPr>
          <w:trHeight w:val="20"/>
        </w:trPr>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Company’s Restricted Stock Activity:</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40" w:type="dxa"/>
            <w:vAlign w:val="bottom"/>
            <w:gridSpan w:val="2"/>
          </w:tcPr>
          <w:p>
            <w:pPr>
              <w:ind w:left="700"/>
              <w:spacing w:after="0"/>
              <w:rPr>
                <w:sz w:val="20"/>
                <w:szCs w:val="20"/>
                <w:color w:val="auto"/>
              </w:rPr>
            </w:pPr>
            <w:r>
              <w:rPr>
                <w:rFonts w:ascii="Arial" w:cs="Arial" w:eastAsia="Arial" w:hAnsi="Arial"/>
                <w:sz w:val="18"/>
                <w:szCs w:val="18"/>
                <w:b w:val="1"/>
                <w:bCs w:val="1"/>
                <w:color w:val="auto"/>
              </w:rPr>
              <w:t>Awards</w:t>
            </w:r>
          </w:p>
        </w:tc>
        <w:tc>
          <w:tcPr>
            <w:tcW w:w="1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Grant Date Fair Value</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2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Granted</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$ 0.57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as of September 30, 2022</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color w:val="auto"/>
              </w:rPr>
              <w:t>23</w:t>
            </w: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July 12, 2022, the Board granted an award of 1,000,000 restricted shares of the Company (“Restricted Stock”) as an inducement to the newly appointed CEO, pursuant to a separate Restricted Stock Award Agreement (the “RSA”). The Restricted Stock will vest in approximately equal installments over three (3) years from the grant date, subject to continued service through the applicable vesting date.</w:t>
      </w:r>
    </w:p>
    <w:p>
      <w:pPr>
        <w:spacing w:after="0" w:line="18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As of September 30, 2022, total unrecognized compensation expense related to unvested RSAs granted was approximately $0.5 million, which is expected to be recognized over a weighted-average period of approximately 2.8 years.</w:t>
      </w:r>
    </w:p>
    <w:p>
      <w:pPr>
        <w:spacing w:after="0" w:line="12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Stock-based compensation expense related to RSAs was less than $0.1 million during the three and nine months ended September 30, 2022.</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Fair value measurements discussed herein are based upon certain market assumptions and pertinent information available to management as of and during the nine months ended September 30, 2022 and the year ended December 31, 2021. The carrying amount of accounts payable approximated fair value as they are short term in nature. The fair value of warrants issued for settlement and services are estimated based on the Black-Scholes model during the nine months ended September 30, 2022 and the year ended December 31, 2021. The carrying value of notes payable approximated the estimated fair values due to their recent issuances.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on a Recurring Basis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money market account represents a Level 1 measurement. The estimated fair value of the warrant liabilities and Earnout Cash contingent consideration represent Level 3 measurements. The following table presents information about the Company’s assets and liabilities that are measured at fair value on a recurring basis at September 30, 2022 and December 31, 2021, and indicates the fair value hierarchy of the valuation inputs the Company utilized to determine such fair value (in thousands):</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2"/>
        </w:trPr>
        <w:tc>
          <w:tcPr>
            <w:tcW w:w="5800" w:type="dxa"/>
            <w:vAlign w:val="bottom"/>
            <w:gridSpan w:val="3"/>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780" w:type="dxa"/>
            <w:vAlign w:val="bottom"/>
            <w:gridSpan w:val="2"/>
          </w:tcPr>
          <w:p>
            <w:pPr>
              <w:ind w:left="80"/>
              <w:spacing w:after="0"/>
              <w:rPr>
                <w:sz w:val="20"/>
                <w:szCs w:val="20"/>
                <w:color w:val="auto"/>
              </w:rPr>
            </w:pPr>
            <w:r>
              <w:rPr>
                <w:rFonts w:ascii="Arial" w:cs="Arial" w:eastAsia="Arial" w:hAnsi="Arial"/>
                <w:sz w:val="18"/>
                <w:szCs w:val="18"/>
                <w:color w:val="auto"/>
              </w:rPr>
              <w:t>Money Market Account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16,985</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80"/>
              <w:spacing w:after="0"/>
              <w:rPr>
                <w:sz w:val="20"/>
                <w:szCs w:val="20"/>
                <w:color w:val="auto"/>
              </w:rPr>
            </w:pPr>
            <w:r>
              <w:rPr>
                <w:rFonts w:ascii="Arial" w:cs="Arial" w:eastAsia="Arial" w:hAnsi="Arial"/>
                <w:sz w:val="18"/>
                <w:szCs w:val="18"/>
                <w:color w:val="auto"/>
              </w:rPr>
              <w:t>Warrant liabilities (Note 10)</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Earnout Cash liability (Note 4)</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Warrant liabilities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Company utilizes a Black-Scholes model approach to value the Placement Warrants at each reporting period, with changes in fair value recognized in the statement of operations. The Company uses a modified Black-Scholes model approach for the Substitute Warrants which applies a probability factor based on the probabilities of achievement of the Earnout Cash Milestone and/or Earnout Shares Milestone at each reporting period, with changes in fair value recognized in the statement of operations. The estimated fair value of the warrant liabilities is determined using Level 3 inputs. Inherent in a Black Scholes options pricing model are assumptions related to expected share-price volatility, expected life, risk-free interest rate and dividend yield. The Company estimates the volatility of its common stock based on historical and peer company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significant inputs used in the Black-Scholes model to measure the warrant liabilities that are categorized within Level 3 of the fair value hierarchy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rPr>
              <w:t>September 30, 2022</w:t>
            </w: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 on valuation date</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0.60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11.50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Dividend yield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w:t>
            </w: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432"/>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A reconciliation of warrant liabilities is included below (in thousands):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7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Gain upon re-measurement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r>
      <w:tr>
        <w:trPr>
          <w:trHeight w:val="21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March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Gain upon re-measurement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r>
      <w:tr>
        <w:trPr>
          <w:trHeight w:val="20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Loss upon re-measurement</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September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Earnout Cash liability</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fair value of the Earnout Cash liability has been estimated using probability-weighted discounted cash flow models (DCFs) with significant inputs that are not observable in the market and thus represents a Level 3 fair value measurement as defined in ASC 820. The most significant inputs include whether (a) if the Company files an NDA, that the FDA approves the Company’s NDA for ZYESAMI and/or NRX-101, (b) if such approval is granted, whether such approval will be received on or before December 31, 2022, and (c) if such approval is granted, whether ZYESAMI and/or NRX-101 will be listed in the FDA’s Orange Book on or before December 31, 2022. The DCFs incorporate Level 3 inputs including estimated discount rates that the Company believes market participants would consider relevant in pricing and the projected timing and amount of cash flows, which are estimated and developed, considering the uncertainties associated with the obligations. Because (i) ZYESAMI NIH Phase III trial was stopped due to futility, and (ii) NRX-101 Phase III trial has not yet started, management estimated the probability as of September 30, 2022 of achieving the required milestones for payment of the Earnout Cash to be de minimis and therefore, the September 30, 2022 Earnout Cash liability was reduced to zero.</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reconciliation of the Earnout Cash liability is included below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September 30, 2022</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r>
      <w:tr>
        <w:trPr>
          <w:trHeight w:val="216"/>
        </w:trPr>
        <w:tc>
          <w:tcPr>
            <w:tcW w:w="6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Gain upon re-measurement</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2022</w:t>
            </w:r>
          </w:p>
        </w:tc>
        <w:tc>
          <w:tcPr>
            <w:tcW w:w="5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r>
      <w:tr>
        <w:trPr>
          <w:trHeight w:val="216"/>
        </w:trPr>
        <w:tc>
          <w:tcPr>
            <w:tcW w:w="6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Gain upon re-measurement</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2022</w:t>
            </w:r>
          </w:p>
        </w:tc>
        <w:tc>
          <w:tcPr>
            <w:tcW w:w="5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2022</w:t>
            </w:r>
          </w:p>
        </w:tc>
        <w:tc>
          <w:tcPr>
            <w:tcW w:w="5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recorded no provision or benefit for income tax expense for the three and nine months ended September 30, 2022 and 2021, respectively.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all periods presented, the pretax losses incurred by the Company received no corresponding tax benefit because the Company concluded that it is more likely than not that the Company will be unable to realize the value of any resulting deferred tax assets. The Company will continue to assess its position in future periods to determine if it is appropriate to reduce a portion of its valuation allowance in the future.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no open tax audits with any taxing authority as of September 30, 2022.</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licenses patents that are owned by Glytech, LLC (“Glytech”), pursuant to a license agreement (the “Glytech Agreement”). Glytech is owned by a co-founder and former director of the Company. The Glytech Agreement requires that the Company pay Glytech for ongoing scientific support and also reimburse Glytech for expenses of obtaining and maintaining patents that are licensed to NRx Pharmaceuticals. During the three months ended September 30, 2022 the Company paid a co-founder $0.1 million, and during the nine months ended September 30, 2022 and 2021, $0.2 million and $0.1 million, respectively, for continuing technology support services and reimbursed expenses. These support services are ongoing.</w:t>
      </w:r>
    </w:p>
    <w:p>
      <w:pPr>
        <w:spacing w:after="0" w:line="19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Fourth Amendment to the Glytech Agreement, effective as of December 31, 2020, includes an equity value-triggered transfer of Excluded Technology from Glytech to NRx Pharmaceuticals. The Excluded Technology is defined in the Glytech Agreement as any technology, and any know-how related thereto, covered in the licensed patents that do not recite either D-cycloserine or lurasidone individually or jointly. This definition would cover pharmaceutical formulations, including some that NRx Pharmaceuticals considers “pipeline” or “future product” opportunities, that contain a combination of pharmaceutical components different from those contained in NRX-100 and NRX-101. The Company had the right to acquire the Excluded Technology for no additional consideration if certain conditions were satisfied prior to August 6, 2022, but the conditions were not satisfied and the Company is currently in discussions with Glytech to extend its right to acquire the Excluded Technology.</w:t>
      </w:r>
    </w:p>
    <w:p>
      <w:pPr>
        <w:spacing w:after="0" w:line="18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Chief Scientist of the Company, Dr. Jonathan Javitt, is a major shareholder in the Company and a member of the Board of Directors. Therefore, his services are deemed to be a related party transaction. He served the Company on a full-time basis as CEO under an employment agreement with the Company until March 8, 2022 and currently serves under a Consulting Agreement with the Company as Chief Scientist thereafter and received compensation of $0.2 million and $0.1 million during the three months ended September 30, 2022 and 2021, respectively, and $0.7 million and $0.4 million during the nine months ended September 30, 2022 and 2021, respectively. These services are ongoing.</w:t>
      </w:r>
    </w:p>
    <w:p>
      <w:pPr>
        <w:spacing w:after="0" w:line="16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Zachary Javitt is the son of Dr. Jonathan Javitt. Zachary Javitt provides services related to website, IT, and marketing support under the supervision of the Company’s CEO and the Company’s Senior Director of Global Communications, who are responsible for assuring that the services are provided on financial terms that are at market. The Company paid this family member a total of less than $0.1 million and less than $0.1 million during the three months ended September 30, 2022 and 2021, respectively, and $0.1 million and $0.1 million during the nine months ended September 30, 2022 and 2021, respectively. These services are ongoing.</w:t>
      </w:r>
    </w:p>
    <w:p>
      <w:pPr>
        <w:spacing w:after="0" w:line="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addition, the Company paid PillTracker for digital health product development required to track the use of Aviptadil in clinical trials. Zachary Javitt and Jonathan Javitt are the chief executive officer and board chairman, respectively, of PillTracker. PillTracker agreements and transactions are submitted to the General Counsel of the Company and the Chair of the Audit Committee for approval in accordance with the terms of the Company’s Related Person Transactions Policy. The Master Service Agreement dated April 1, 2020 (“MSA”), and all work orders thereunder, have been suspended by mutual agreement pending the Company’s re-evaluation of its respiratory franchise. NRx Pharmaceuticals paid PillTracker $0.3 million during the three months ended September 30, 2021, and $0.2 million and $0.7 million during the nine months ended September 30, 2022 and 2021, respectively.</w:t>
      </w:r>
    </w:p>
    <w:p>
      <w:pPr>
        <w:spacing w:after="0" w:line="178"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Included in accounts payable were less than $0.1 million and $0.1 million due to the above related parties as of September 30, 2022 and December 31, 2021, respectively.</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Subsequent Events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w:t>
      </w:r>
    </w:p>
    <w:p>
      <w:pPr>
        <w:spacing w:after="0" w:line="14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November 4, 2022, the Company issued an 9% redeemable promissory note (the “Note”) to Streeterville Capital, LLC, a Utah limited liability company, for an aggregate principal amount of $11,020,000. The Company intends to use the proceeds from such issuance for general corporate purposes. The Note matures 18 months from the date of issuance. The Note carries an original issue discount of $1,000,000 which was deducted from the principal balance of the Note. The net proceeds from the issuance of the Note was $10,000,000 after transaction costs including the original issue discount, legal and other fees are included.</w:t>
      </w:r>
    </w:p>
    <w:p>
      <w:pPr>
        <w:spacing w:after="0" w:line="11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Company has the option to prepay the Note during the term by paying an amount equal to 110% of the principal, interest, and fees owed as of the prepayment date. The noteholder has the right to redeem up to $1,000,000 of the outstanding balance of the Note per month starting on the six-month anniversary of the issue date. Payments may be made by the Company at its option in: (i) in cash, (ii) by paying the redemption amount in the form of shares of Common Stock with the number of redemption shares being equal to the portion of the applicable redemption amount divided by the Redemption Conversion Price, or (iii) a combination of cash and shares of common stock. Beginning May 1, 2023, in the event (a) the daily dollar trading volume of the common stock of the Company on any given trading day is at least fifty percent (50%) greater than the lower of (i) the median daily dollar trading volume over the previous ten (10) trading days or (ii) the daily dollar trading volume on the trading day immediately preceding the date of measurement or (b) if the closing trade price on any given trading day is at least thirty percent (30%) greater than the Nasdaq Minimum Price, then lender will be entitled to redeem over the following ten (10) trading days an amount of indebtedness then outstanding under the Note equal to twice (2x) the monthly redemption amount of $1,000,000 solely by payment by stock, if permitted under the agreement, subject to maximum percentage and other ownership limitations.</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Settlement of Litigation</w:t>
      </w:r>
    </w:p>
    <w:p>
      <w:pPr>
        <w:spacing w:after="0" w:line="26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On November 12, 2022, NRx Pharmaceuticals, Inc. (“NRx” or the “Company”) entered into a Settlement Agreement and Asset Purchase Agreement (“APA”) with Relief Therapeutics Holding AG and Relief Therapeutics International (the “Relief Parties”) to settle the outstanding lawsuit with respect to the Collaboration Agreement dated September 18, 2020 between the Company and the Relief Parties (the “Collaboration Agreement”).</w:t>
      </w:r>
    </w:p>
    <w:p>
      <w:pPr>
        <w:spacing w:after="0" w:line="21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Under the APA, the Company has agreed to transfer to the Relief Parties all of the Company’s interest in ZYESAMI (or the “Product” as such term is defined in the Collaboration Agreement), including intellectual property, FDA applications, clinical trial data, drug and API inventory and certain contractual rights. The Company has agreed to refrain from developing any product for any indication that uses or otherwise exploits the Product without the Relief Parties’ consent.</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Relief Parties have agreed to use commercially reasonable efforts to develop, market, and commercialize the Product, but has sole discretion to select the indications for which it will seek to develop the Product. Although the Company intends to monitor the progress of the Relief Parties under the APA and enforce the Company’s rights thereunder, there can be no assurances that the Relief Parties will be successful at commercializing the Product.</w:t>
      </w:r>
    </w:p>
    <w:p>
      <w:pPr>
        <w:spacing w:after="0" w:line="21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Upon commercial launch of the Product by the Relief Parties or any of their affiliates, licensees or sublicensees (or upon authorization of use for any indication of the Product other than COVID-19), the Company is entitled to receive milestone payments in stages up to an aggregate amount of $13.0 million. The Relief Parties have also agreed to pay royalties to NRx on aggregate net sales of all Products, subject to a cap on royalty payments of $30.0 million in the aggregate. In addition, Relief is obligated to use commercially reasonable efforts to continue NRx’s existing Right to Try Program for at least two (2) years after the closing of the APA.</w:t>
      </w:r>
    </w:p>
    <w:p>
      <w:pPr>
        <w:spacing w:after="0" w:line="19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Mutual indemnity provisions in the APA will protect each party from any breaches of the settlement arrangements by the other party, provided, that the Company’s indemnity obligations will not start until the Relief Parties have begun making royalty or milestone payments to NRx, subject to certain exceptions. With respect to the Company, there is an indemnity threshold such that the Company will not be liable for any indemnity claims until such claims are in excess of $0.5 million (and then only for the amount above $0.5 million). The Company’s indemnity obligation is capped at $2.0 million with respect to breaches of representations and warranties and $3.0 million with respects to breaches of covenants or other agreements. Additionally, subject to certain exceptions, the Company’s indemnity obligations cannot exceed the amount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that the Relief Parties actually pay to the Company for milestone and royalty payments. The parties have 30 days to implement the agreed actions and achieve closing under the APA, at which time all claims and counterclaims between the Company and the Relief Parties will be dismissed with prejudice.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NRx Pharmaceuticals’ financial condition and plan of operations together with NRx Pharmaceuticals' unaudited, condensed consolidated financial statements and the related notes appearing elsewhere herein. In addition to historical information, this discussion and analysis contains forward looking statements that involve risks, uncertainties and assumptions. NRx Pharmaceuticals’ actual results may differ materially from those discussed below. Factors that could cause or contribute to such differences include, but are not limited to, those identified below, and those discussed in the section entitled “Risk Factors” included elsewhere herein.</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May 24, 2021, Big Rock Partners Acquisition Group (“BRPA”), a special purpose acquisition company, consummated the Agreement and Plan of Merger (as amended, the “Merger Agreement”) with NeuroRx, Inc., a Delaware corporation (“NeuroRx”), and Big Rock Merger Corp., a Delaware corporation and wholly owned, direct subsidiary of BRPA (“Merger Sub”). Pursuant to the Merger Agreement, on May 24, 2021 (the “Closing Date”), which has been accounted for as a reverse recapitalization, Merger Sub was merged with and into NeuroRx, with NeuroRx surviving the merger (the “Merger” and, together with the other transactions contemplated by the Merger Agreement, the “Business Combination”). On the Closing Date, BRPA changed its name to NRX Pharmaceuticals, Inc. (“NRx Pharmaceuticals” or the “Company”).</w:t>
      </w:r>
    </w:p>
    <w:p>
      <w:pPr>
        <w:spacing w:after="0" w:line="9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NRx Pharmaceuticals is a clinical stage pharmaceutical company that is developing, through its wholly owned operating subsidiary, NeuroRx, NRX-100 and NRX-101, the first oral therapeutic for the treatment of Bipolar Depression in patients with Acute Suicidal Ideation and Behavior (ASIB) and Sub-Acute Suicidal Ideation and Behavior (“SSIB”). NRX-100 and NRX-101 were developed based upon 30 years of basic science and clinical expertise contributed by Dr. Daniel Javitt, MD, PhD, related to the role of the brain’s N-methyl-D-aspartate (“NMDA”) receptor in regulating human thought processes in general and in regulating depression and suicidality. The NRX-100 and NRX-101 investigational therapy begins with a single dose of ketamine (NRX-100), a Food &amp; Drug Administration (“FDA”) approved anesthetic, followed by approximately six weeks of daily oral NRX-101. NRX-101 is being developed as a rapid-onset and sustained treatment for bipolar depression with ASIB and SSIB. NRX-101 combines d-Cycloserine, a NMDA receptor modulator, and lurasidone, a 5-HT2a receptor antagonist.</w:t>
      </w:r>
    </w:p>
    <w:p>
      <w:pPr>
        <w:spacing w:after="0" w:line="118"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NRX-101 has been awarded Fast Track designation, Breakthrough Therapy designation, a Biomarker Letter of Support, and a Special Protocol Agreement by the FDA. Peer-reviewed and published results from Phase II clinical studies demonstrate a significant decline and stabilization in symptoms of depression and suicidality following administration of DCS in combination with antidepressants. Findings from one of these studies found that bipolar patients who were already receiving a 5-HT2a antagonist demonstrated more than a 50% reduction in symptoms of depression and a 75% reduction in suicidal ideation when ketamine and DCS were added to their treatment regimen. Side effects for patients in a Phase 2a combination study of DCS and 5HT2a included mild sedation, headaches and hypomania. Breakthrough Therapy designation was awarded based on data from the STABIL-B study (NCT02974010) that demonstrated a statistically significant advantage of NRX-101 vs. lurasidone (the active ingredient used in the market leading branded bipolar depression agent) in maintaining remission from depression and suicidality following a single stabilizing dose of ketamine.</w:t>
      </w:r>
    </w:p>
    <w:p>
      <w:pPr>
        <w:spacing w:after="0" w:line="87"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March 2022, NRx Pharmaceuticals announced a primary focus on its psychiatry franchise and the late-stage development of NRX-101 for the treatment of bipolar depression in patients with suicidality. NRX-101 is a fixed dose combination of D-cycloserine, an NMDA antagonist, and lurasidone, a 5-HT</w:t>
      </w:r>
      <w:r>
        <w:rPr>
          <w:rFonts w:ascii="Arial" w:cs="Arial" w:eastAsia="Arial" w:hAnsi="Arial"/>
          <w:sz w:val="26"/>
          <w:szCs w:val="26"/>
          <w:color w:val="auto"/>
          <w:vertAlign w:val="subscript"/>
        </w:rPr>
        <w:t>2A</w:t>
      </w:r>
      <w:r>
        <w:rPr>
          <w:rFonts w:ascii="Arial" w:cs="Arial" w:eastAsia="Arial" w:hAnsi="Arial"/>
          <w:sz w:val="18"/>
          <w:szCs w:val="18"/>
          <w:color w:val="auto"/>
        </w:rPr>
        <w:t xml:space="preserve"> atypical antipsychotic and antidepressant, for the maintenance of remission from severe bipolar depression following initial stabilization with ketamine. The previously undiscovered synergy between these two drug classes in the treatment of CNS disorders, combined with the efficacy of D-cycloserine in the treatment of depression and PTSD, is the subject of 47 issued patents and more than 43 pending patents owned by or licensed to NRx Pharmaceuticals.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u w:val="single" w:color="auto"/>
          <w:color w:val="auto"/>
        </w:rPr>
        <w:t>NRX-101 Lead Indication – Severe Bipolar Depression in Patients with Acute Suicidal Ideation and Behavior (ASIB) After Initial Stabilization with ketamine</w:t>
      </w:r>
    </w:p>
    <w:p>
      <w:pPr>
        <w:spacing w:after="0" w:line="170" w:lineRule="exact"/>
        <w:rPr>
          <w:sz w:val="20"/>
          <w:szCs w:val="20"/>
          <w:color w:val="auto"/>
        </w:rPr>
      </w:pPr>
    </w:p>
    <w:p>
      <w:pPr>
        <w:jc w:val="both"/>
        <w:ind w:left="720" w:right="79" w:hanging="319"/>
        <w:spacing w:after="0" w:line="279"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2017, NRX-101 received an investigational new drug (IND) clearance by the U.S. Food and Drug Administration (FDA) and a Phase 2b/3 clinical trial commenced for bipolar depression with ASIB. Later that year, the FDA granted NRX-101 a Fast Track designation for the same indication.</w:t>
      </w:r>
    </w:p>
    <w:p>
      <w:pPr>
        <w:spacing w:after="0" w:line="196" w:lineRule="exact"/>
        <w:rPr>
          <w:rFonts w:ascii="Arial" w:cs="Arial" w:eastAsia="Arial" w:hAnsi="Arial"/>
          <w:sz w:val="18"/>
          <w:szCs w:val="18"/>
          <w:color w:val="auto"/>
        </w:rPr>
      </w:pPr>
    </w:p>
    <w:p>
      <w:pPr>
        <w:jc w:val="both"/>
        <w:ind w:left="720" w:right="79" w:hanging="319"/>
        <w:spacing w:after="0" w:line="275"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2018, the FDA provided a Letter of Support to the Company encouraging the development of Glutamine+Glutamate (Glx) as a pharmacodynamic biomarker for depression. The letter referenced published and unpublished data demonstrating a significant association between clinical symptoms of depression and levels of brain Glx.</w:t>
      </w:r>
    </w:p>
    <w:p>
      <w:pPr>
        <w:spacing w:after="0" w:line="198" w:lineRule="exact"/>
        <w:rPr>
          <w:rFonts w:ascii="Arial" w:cs="Arial" w:eastAsia="Arial" w:hAnsi="Arial"/>
          <w:sz w:val="18"/>
          <w:szCs w:val="18"/>
          <w:color w:val="auto"/>
        </w:rPr>
      </w:pPr>
    </w:p>
    <w:p>
      <w:pPr>
        <w:jc w:val="both"/>
        <w:ind w:left="720" w:right="79" w:hanging="319"/>
        <w:spacing w:after="0" w:line="319"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STABIL-B Phase 2 trial, the Phase 2 portion of the Phase 2b/3 trial, patients with bipolar depression and ASIB received either NRX-101 or lurasidone after an intravenous infusion of NRX-100 (ketamine). The proof-of-concept data presented at the American Congress of Neuropsychopharmacology in 2018 demonstrated with statistical significance that NRX-101 treated patients experienced lower depression scores and did not relapse.</w:t>
      </w:r>
    </w:p>
    <w:p>
      <w:pPr>
        <w:spacing w:after="0" w:line="169" w:lineRule="exact"/>
        <w:rPr>
          <w:rFonts w:ascii="Arial" w:cs="Arial" w:eastAsia="Arial" w:hAnsi="Arial"/>
          <w:sz w:val="16"/>
          <w:szCs w:val="16"/>
          <w:color w:val="auto"/>
        </w:rPr>
      </w:pPr>
    </w:p>
    <w:p>
      <w:pPr>
        <w:jc w:val="both"/>
        <w:ind w:left="720" w:right="79" w:hanging="319"/>
        <w:spacing w:after="0" w:line="27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STABIL-B findings, the FDA granted NRX-101 Breakthrough Therapy Designation and a Special Protocol Agreement (“SPA”) for bipolar depression in patients with ASIB, which affects ~150K-180K patients per year in the U.S. The Breakthrough Therapy Designation allows for an expedited rolling submission of a new drug application (“NDA”) for investigational drugs that have demonstrated substantial improvement over existing approved therapies, and the SPA allows for a single registrational trial of NRX-101 in severe bipolar depression in patients with ASIB after stabilization with ketamine, using a protocol similar to the STABIL-B trial with a patient population of less than 100.</w:t>
      </w:r>
    </w:p>
    <w:p>
      <w:pPr>
        <w:spacing w:after="0" w:line="192" w:lineRule="exact"/>
        <w:rPr>
          <w:rFonts w:ascii="Arial" w:cs="Arial" w:eastAsia="Arial" w:hAnsi="Arial"/>
          <w:sz w:val="18"/>
          <w:szCs w:val="18"/>
          <w:color w:val="auto"/>
        </w:rPr>
      </w:pPr>
    </w:p>
    <w:p>
      <w:pPr>
        <w:jc w:val="both"/>
        <w:ind w:left="720" w:right="79" w:hanging="319"/>
        <w:spacing w:after="0" w:line="271"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NRx Pharmaceuticals plans to initiate the registrational Phase 3 portion of the Phase 2b/3 clinical trial of bipolar depression in patients with ASIB in 4Q 2022. The trial is designed as a double-blind, adaptive trial with a 2:1 randomization of NRX-101 vs. lurasidone alone in 72 patients. The study is expected to find that following initial stabilization with a single infusion of ketamine (NRX-100), treatment with NRX-101 is superior to lurasidone alone in maintaining remission from symptoms of depression and suicidality as measured by the MADRS-10 depression scale and the CGI suicidality scale.</w:t>
      </w:r>
    </w:p>
    <w:p>
      <w:pPr>
        <w:spacing w:after="0" w:line="204"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NRx Pharmaceuticals announced that it has transferred Phase 3 commercial drug manufacturing processes to the U.S. and released Phase 3 drug manufactured via the expected commercial-stage processes. NRx Pharmaceuticals has submitted its manufacturing file to the FDA. This investigational drug manufactured according to these new processes will be used in the upcoming Phase 3 trial.</w:t>
      </w:r>
    </w:p>
    <w:p>
      <w:pPr>
        <w:spacing w:after="0" w:line="186"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data readout from the registrational Phase 3 clinical trial is expected in 3Q 2023. Assuming that efficacy endpoints and safety are met, NRx Pharmaceuticals plans to initiate submission of a NDA to the FDA by year-end 2023, as allowed under Breakthrough Therapy Designation.</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Company has received numerous partnering inquiries for NRX-101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NRX-101 Indication – Bipolar Depression in Patients with Sub-acute Suicidal Ideation and Behavior (SSIB)</w:t>
      </w:r>
    </w:p>
    <w:p>
      <w:pPr>
        <w:spacing w:after="0" w:line="225" w:lineRule="exact"/>
        <w:rPr>
          <w:sz w:val="20"/>
          <w:szCs w:val="20"/>
          <w:color w:val="auto"/>
        </w:rPr>
      </w:pPr>
    </w:p>
    <w:p>
      <w:pPr>
        <w:jc w:val="both"/>
        <w:ind w:left="720" w:right="79" w:hanging="319"/>
        <w:spacing w:after="0" w:line="279"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Phase 2 double-blind study completed in 2018 demonstrated the ability of NRX-101 to improve depression and suicidality over 6 weeks when taken twice daily over lurasidone alone after an initial stabilization with ketamine. The current study involving patients with bipolar depression and sub-acute suicidality (not requiring hospitalization) does not include the use of ketamine; all patients are being treated in an outpatient setting.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86"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Insights from this study will guide NRx Pharmaceuticals in the potential expansion of the indication for NRX-101 to bipolar depression with SSIB, which represents a significantly 2-3x larger patient population than those with bipolar depression and ASIB. A data readout of this study is expected by 1H 2023.</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NRX-101 Indication – Post Traumatic Stress Disorder</w:t>
      </w:r>
    </w:p>
    <w:p>
      <w:pPr>
        <w:spacing w:after="0" w:line="225" w:lineRule="exact"/>
        <w:rPr>
          <w:sz w:val="20"/>
          <w:szCs w:val="20"/>
          <w:color w:val="auto"/>
        </w:rPr>
      </w:pPr>
    </w:p>
    <w:p>
      <w:pPr>
        <w:ind w:left="720" w:right="7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September 2022, NRx announced plans to investigate PTSD as an additional indication. The Company expects to commence Phase 2 clinical trial planning of NRX-101 in PTSD in 4Q 2022.</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Depression in PTSD may be driven by pathways that are similar to those that drive depression in other conditions (NMDA and 5-HT2A). Additionally, approximately 10% of patients with PTSD may experience suicidality, especially those with severe PTSD.</w:t>
      </w:r>
    </w:p>
    <w:p>
      <w:pPr>
        <w:spacing w:after="0" w:line="183"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a preclinical PTSD study, D-cycloserine, a component of NRX-101, demonstrated the ability to extinguish recurring images of traumatic events, also known as fear memory, in a validated WKY model of PTSD.</w:t>
      </w:r>
    </w:p>
    <w:p>
      <w:pPr>
        <w:spacing w:after="0" w:line="14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Since inception, NRx Pharmaceuticals has incurred significant operating losses. For the three months ended September 30, 2022 and 2021, NRx Pharmaceuticals’ net loss was $9.1 million and $37.0 million, respectively. For the nine months ended September 30, 2022 and 2021, NRx Pharmaceuticals’ net loss was $29.5 million and $62.7 million, respectively. As of September 30, 2022, NRx Pharmaceuticals had an accumulated deficit of $212.8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NRx Pharmaceuticals’ research and development expenses consist primarily of costs associated with NRx Pharmaceuticals’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General and administrative expense consists primarily of salaries, stock-based compensation, consultant fees, and professional fees for legal and accounting services.</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Settlement Expense</w:t>
      </w:r>
    </w:p>
    <w:p>
      <w:pPr>
        <w:spacing w:after="0" w:line="15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Settlement expense consists primarily of settlement expenses related to the GEM Warrant. See Note 8 “Commitments and Contingencies – Share Subscription Facility Agreement – GEM” of the notes to the Company’s unaudited condensed consolidated financial statements included elsewhere in this report for further information.</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Reimbursement of expenses from Relief Therapeutics</w:t>
      </w:r>
    </w:p>
    <w:p>
      <w:pPr>
        <w:spacing w:after="0" w:line="14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Reimbursement of expenses from Relief Therapeutics consisted of reimbursable expenses as part of the Collaboration Agreement. See Note 8 “Commitments and Contingencies – Relief Therapeutics Collaboration Agreement” of the notes to the Company’s unaudited condensed consolidated financial statements included elsewhere in this report for further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for the three months ended September 30, 2022 and 2021</w:t>
      </w:r>
    </w:p>
    <w:p>
      <w:pPr>
        <w:spacing w:after="0" w:line="1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sets forth NRx Pharmaceuticals’ selected statements of operations data for the following periods (in thousands):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2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w w:val="92"/>
              </w:rPr>
              <w:t>Three months ended September 30,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Dollars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4,129</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6,276</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9,141</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operations</w:t>
            </w:r>
          </w:p>
        </w:tc>
        <w:tc>
          <w:tcPr>
            <w:tcW w:w="9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11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Change in fair value of warrant liabilities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fair value of Earnout Cash liability</w:t>
            </w:r>
          </w:p>
        </w:tc>
        <w:tc>
          <w:tcPr>
            <w:tcW w:w="9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other (income) expenses</w:t>
            </w: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27,966</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For the three months ended September 30, 2022, NRx Pharmaceuticals recorded $4.1 million of research and development expenses compared to $6.3 million for the three months ended September 30, 2021. The decrease of $2.1 million related primarily to a decrease of $1.5 million in </w:t>
      </w:r>
      <w:r>
        <w:rPr>
          <w:rFonts w:ascii="Arial" w:cs="Arial" w:eastAsia="Arial" w:hAnsi="Arial"/>
          <w:sz w:val="16"/>
          <w:szCs w:val="16"/>
          <w:color w:val="231F20"/>
        </w:rPr>
        <w:t>clinical trials and development expenses related to ZYESAMI, a decrease of $0.6</w:t>
      </w:r>
      <w:r>
        <w:rPr>
          <w:rFonts w:ascii="Arial" w:cs="Arial" w:eastAsia="Arial" w:hAnsi="Arial"/>
          <w:sz w:val="16"/>
          <w:szCs w:val="16"/>
          <w:color w:val="auto"/>
        </w:rPr>
        <w:t xml:space="preserve"> </w:t>
      </w:r>
      <w:r>
        <w:rPr>
          <w:rFonts w:ascii="Arial" w:cs="Arial" w:eastAsia="Arial" w:hAnsi="Arial"/>
          <w:sz w:val="16"/>
          <w:szCs w:val="16"/>
          <w:color w:val="231F20"/>
        </w:rPr>
        <w:t xml:space="preserve">million related to fees paid to regulatory and process development consultants, a decrease of $0.2 million in stock-based compensation, partially offset by an increase </w:t>
      </w:r>
      <w:r>
        <w:rPr>
          <w:rFonts w:ascii="Arial" w:cs="Arial" w:eastAsia="Arial" w:hAnsi="Arial"/>
          <w:sz w:val="16"/>
          <w:szCs w:val="16"/>
          <w:color w:val="000000"/>
        </w:rPr>
        <w:t>of $0.2 million in other regulatory and process development expenses. The $4.1</w:t>
      </w:r>
      <w:r>
        <w:rPr>
          <w:rFonts w:ascii="Arial" w:cs="Arial" w:eastAsia="Arial" w:hAnsi="Arial"/>
          <w:sz w:val="16"/>
          <w:szCs w:val="16"/>
          <w:color w:val="231F20"/>
        </w:rPr>
        <w:t xml:space="preserve"> </w:t>
      </w:r>
      <w:r>
        <w:rPr>
          <w:rFonts w:ascii="Arial" w:cs="Arial" w:eastAsia="Arial" w:hAnsi="Arial"/>
          <w:sz w:val="16"/>
          <w:szCs w:val="16"/>
          <w:color w:val="000000"/>
        </w:rPr>
        <w:t>million and $6.3 million of research and development expenses for the three months ended September 30, 2022 and 2021, respectively, include less than $0.1 million and $0.2 million, respectively, of non-cash stock-based compensation.</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For the three months ended September 30, 2022, NRx Pharmaceuticals recorded $5.0 million of general and administrative expenses compared to $13.8 million for the three months ended September 30, 2021. The decrease of $8.8 million was primarily, related to a decrease of $8.3 million of consultant fees, a decrease of $0.8 million in stock-based compensation expense, a decrease of $0.3 million in other general and administrative expenses, a decrease of less than $0.1 million in legal and professional fees, partially offset by an increase of $0.6 million in payroll and salary expenses. The $5.0 million and $13.8 million of general and administrative expenses for the three months ended September 30, 2022 and 2021, respectively, include $0.5 million and $1.3 million, respectively, of non-cash stock-based compensation.</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14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the three months ended September 30, 2022, NRx Pharmaceuticals recorded approximately $0.1 million of interest income. The increase is primarily related to the earned interest income on the money market account.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warrant liabilities</w:t>
      </w:r>
    </w:p>
    <w:p>
      <w:pPr>
        <w:spacing w:after="0" w:line="15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three months ended September 30, 2022, NRx Pharmaceuticals recorded a loss of less than $0.1 million related to the change in fair value of the warrant liabilities compared to a loss of $16.5 million for the three months ended September 30, 2021. The decrease of $16.5 million related to the decrease in the fair value of certain Substitute Warrants and the Placement Warrants assumed pursuant to the Merger Agreement.</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Earnout Cash liability</w:t>
      </w:r>
    </w:p>
    <w:p>
      <w:pPr>
        <w:spacing w:after="0" w:line="14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For the three months ended September 30, 2022, NRx Pharmaceuticals recorded a gain of $0.4 million for the three months ended September 30, 2021. The gain related to the decrease in the fair value of the Earnout Cash liability pursuant to the Merger Agreement.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for the nine months ended September 30, 2022 and 2021</w:t>
      </w:r>
    </w:p>
    <w:p>
      <w:pPr>
        <w:spacing w:after="0" w:line="1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sets forth NRx Pharmaceuticals’ selected statements of operations data for the following periods (in thousands):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34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r>
      <w:tr>
        <w:trPr>
          <w:trHeight w:val="142"/>
        </w:trPr>
        <w:tc>
          <w:tcPr>
            <w:tcW w:w="43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Dollars</w:t>
            </w:r>
          </w:p>
        </w:tc>
        <w:tc>
          <w:tcPr>
            <w:tcW w:w="20" w:type="dxa"/>
            <w:vAlign w:val="bottom"/>
          </w:tcPr>
          <w:p>
            <w:pPr>
              <w:spacing w:after="0"/>
              <w:rPr>
                <w:sz w:val="12"/>
                <w:szCs w:val="12"/>
                <w:color w:val="auto"/>
              </w:rPr>
            </w:pPr>
          </w:p>
        </w:tc>
      </w:tr>
      <w:tr>
        <w:trPr>
          <w:trHeight w:val="129"/>
        </w:trPr>
        <w:tc>
          <w:tcPr>
            <w:tcW w:w="4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12,571</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13,844</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(1,273)</w:t>
            </w:r>
          </w:p>
        </w:tc>
        <w:tc>
          <w:tcPr>
            <w:tcW w:w="2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21,876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20" w:type="dxa"/>
            <w:vAlign w:val="bottom"/>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Settlement expense</w:t>
            </w:r>
          </w:p>
        </w:tc>
        <w:tc>
          <w:tcPr>
            <w:tcW w:w="9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(21,366)</w:t>
            </w:r>
          </w:p>
        </w:tc>
        <w:tc>
          <w:tcPr>
            <w:tcW w:w="2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Reimbursement of expenses from Relief Therapeutics</w:t>
            </w: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0" w:type="dxa"/>
            <w:vAlign w:val="bottom"/>
          </w:tcPr>
          <w:p>
            <w:pPr>
              <w:spacing w:after="0"/>
              <w:rPr>
                <w:sz w:val="18"/>
                <w:szCs w:val="18"/>
                <w:color w:val="auto"/>
              </w:rPr>
            </w:pPr>
          </w:p>
        </w:tc>
      </w:tr>
      <w:tr>
        <w:trPr>
          <w:trHeight w:val="209"/>
        </w:trPr>
        <w:tc>
          <w:tcPr>
            <w:tcW w:w="4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34,447</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62,821</w:t>
            </w:r>
          </w:p>
        </w:tc>
        <w:tc>
          <w:tcPr>
            <w:tcW w:w="2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(28,374)</w:t>
            </w:r>
          </w:p>
        </w:tc>
        <w:tc>
          <w:tcPr>
            <w:tcW w:w="20" w:type="dxa"/>
            <w:vAlign w:val="bottom"/>
          </w:tcPr>
          <w:p>
            <w:pPr>
              <w:spacing w:after="0"/>
              <w:rPr>
                <w:sz w:val="18"/>
                <w:szCs w:val="18"/>
                <w:color w:val="auto"/>
              </w:rPr>
            </w:pPr>
          </w:p>
        </w:tc>
      </w:tr>
      <w:tr>
        <w:trPr>
          <w:trHeight w:val="209"/>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(34,447)</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(62,821)</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28,374</w:t>
            </w:r>
          </w:p>
        </w:tc>
        <w:tc>
          <w:tcPr>
            <w:tcW w:w="20" w:type="dxa"/>
            <w:vAlign w:val="bottom"/>
          </w:tcPr>
          <w:p>
            <w:pPr>
              <w:spacing w:after="0"/>
              <w:rPr>
                <w:sz w:val="18"/>
                <w:szCs w:val="18"/>
                <w:color w:val="auto"/>
              </w:rPr>
            </w:pPr>
          </w:p>
        </w:tc>
      </w:tr>
      <w:tr>
        <w:trPr>
          <w:trHeight w:val="210"/>
        </w:trPr>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Gain on extinguishment of debt</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Change in fair value of Earnout Cash liability</w:t>
            </w:r>
          </w:p>
        </w:tc>
        <w:tc>
          <w:tcPr>
            <w:tcW w:w="9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(4,582)</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(5,345)</w:t>
            </w:r>
          </w:p>
        </w:tc>
        <w:tc>
          <w:tcPr>
            <w:tcW w:w="20" w:type="dxa"/>
            <w:vAlign w:val="bottom"/>
          </w:tcPr>
          <w:p>
            <w:pPr>
              <w:spacing w:after="0"/>
              <w:rPr>
                <w:sz w:val="18"/>
                <w:szCs w:val="18"/>
                <w:color w:val="auto"/>
              </w:rPr>
            </w:pPr>
          </w:p>
        </w:tc>
      </w:tr>
      <w:tr>
        <w:trPr>
          <w:trHeight w:val="209"/>
        </w:trPr>
        <w:tc>
          <w:tcPr>
            <w:tcW w:w="43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other (income) expenses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20" w:type="dxa"/>
            <w:vAlign w:val="bottom"/>
          </w:tcPr>
          <w:p>
            <w:pPr>
              <w:spacing w:after="0"/>
              <w:rPr>
                <w:sz w:val="18"/>
                <w:szCs w:val="18"/>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(29,513)</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(62,656)</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33,143</w:t>
            </w:r>
          </w:p>
        </w:tc>
        <w:tc>
          <w:tcPr>
            <w:tcW w:w="2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 xml:space="preserve">For the nine months ended September 30, 2022, NRx Pharmaceuticals recorded $12.6 million of research and development expenses compared to $13.8 million for the nine months ended September 30, 2021. The decrease of $1.3 million is related to a decrease of $1.5 million in clinical trials and development expenses related to ZYESAMI, a decrease of $0.5 million in </w:t>
      </w:r>
      <w:r>
        <w:rPr>
          <w:rFonts w:ascii="Arial" w:cs="Arial" w:eastAsia="Arial" w:hAnsi="Arial"/>
          <w:sz w:val="17"/>
          <w:szCs w:val="17"/>
          <w:color w:val="231F20"/>
        </w:rPr>
        <w:t xml:space="preserve">fees paid to regulatory and process development consultants, </w:t>
      </w:r>
      <w:r>
        <w:rPr>
          <w:rFonts w:ascii="Arial" w:cs="Arial" w:eastAsia="Arial" w:hAnsi="Arial"/>
          <w:sz w:val="17"/>
          <w:szCs w:val="17"/>
          <w:color w:val="000000"/>
        </w:rPr>
        <w:t>partially offset by an increase of $0.7 million in other regulatory</w:t>
      </w:r>
      <w:r>
        <w:rPr>
          <w:rFonts w:ascii="Arial" w:cs="Arial" w:eastAsia="Arial" w:hAnsi="Arial"/>
          <w:sz w:val="17"/>
          <w:szCs w:val="17"/>
          <w:color w:val="231F20"/>
        </w:rPr>
        <w:t xml:space="preserve"> </w:t>
      </w:r>
      <w:r>
        <w:rPr>
          <w:rFonts w:ascii="Arial" w:cs="Arial" w:eastAsia="Arial" w:hAnsi="Arial"/>
          <w:sz w:val="17"/>
          <w:szCs w:val="17"/>
          <w:color w:val="000000"/>
        </w:rPr>
        <w:t>and process development costs. The $12.6 million and $13.8 million of research and development expenses for the nine months ended September 30, 2022 and 2021, respectively, include $0.5 million and $0.4 million, respectively, of non-cash stock-based compensation.</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For the nine months ended September 30, 2022, NRx Pharmaceuticals recorded $21.9 million of general and administrative expenses compared to $28.4 million for the nine months ended September 30, 2021. The decrease of $6.5 million was primarily, related to a decrease of $12.3 million in consultant fees, a decrease of $3.4 million in stock-based compensation expense, partially offset by an increase of $4.1 million in legal, professional and accounting fees, an increase of $3.7 million in insurance expense, an increase of $0.9 million in payroll and salary expenses, and an increase of $0.5 million in other general and administrative expenses. The $21.9 million and $28.4 million of general and administrative expenses for the nine months ended September 30, 2022 and 2021, respectively, include $2.4 million and $5.8 million, respectively, of non-cash stock-based compensation.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Settlement expense</w:t>
      </w:r>
    </w:p>
    <w:p>
      <w:pPr>
        <w:spacing w:after="0" w:line="15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For the nine months ended September 30, 2022, NRx Pharmaceuticals recorded no settlement expense compared to $21.4 million of settlement expense for the nine months ended September 30, 2021 related to the GEM Warrant reflecting the incremental value through the date of issuance.</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Reimbursement of expenses from Relief Therapeutics</w:t>
      </w:r>
    </w:p>
    <w:p>
      <w:pPr>
        <w:spacing w:after="0" w:line="14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nine months ended September 30, 2022, NRx Pharmaceuticals recorded no reimbursement of expenses from Relief Therapeutics compared to $0.8 million of reimbursement of expenses from Relief Therapeutics for the nine months ended September 30, 2021.</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Gain on extinguishment of debt</w:t>
      </w:r>
    </w:p>
    <w:p>
      <w:pPr>
        <w:spacing w:after="0" w:line="14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nine months ended September 30, 2022, NRx Pharmaceuticals recorded no gain on extinguishment of debt compared to $0.1 million for the nine months ended September 30, 2021. The decrease of $0.1 million related to the forgiveness of the PPP Loan which resulted in a gain on extinguishment for the outstanding principal and accrued and unpaid interest for the nine months ended September 30, 2021.</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15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For the nine months ended September 30, 2022, NRx Pharmaceuticals recorded $0.1 million of interest income. The increase of less than $0.1 million related primarily to the earned interest income on the money market account.</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warrant liabilities</w:t>
      </w:r>
    </w:p>
    <w:p>
      <w:pPr>
        <w:spacing w:after="0" w:line="15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nine months ended September 30, 2022, NRx Pharmaceuticals recorded a gain of $0.2 million related to the change in fair value of the warrant liabilities compared to a gain of $0.8 million for the nine months ended September 30, 2021. The decrease of $0.6 million related to the decrease in the fair value of certain Substitute Warrants and the Placement Warrants assumed pursuant to the Merger Agreement.</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Earnout Cash liability</w:t>
      </w:r>
    </w:p>
    <w:p>
      <w:pPr>
        <w:spacing w:after="0" w:line="14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nine months ended September 30, 2022, NRx Pharmaceuticals recorded a gain of $4.6 million related to the change in fair value of the Earnout Cash liability compared to a loss of $0.8 million for the nine months ended September 30, 2021. The decrease of $4.6 million is related to the decrease in the fair value of the Earnout Cash liability pursuant to the Merger Agreement.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NRx Pharmaceuticals has generated no revenues, has incurred operating losses since inception, and expects to continue to incur significant operating losses for the foreseeable future and may never become profitable. Until such time as NRx Pharmaceuticals is able to establish a revenue stream from the sale of its therapeutic products, NRx Pharmaceuticals is dependent upon obtaining necessary equity and/or debt financing to continue operations. NRx Pharmaceuticals cannot make any assurances that sales of NRX-101 will commence in the near term or that additional financings will be available to it and, if available, on acceptable terms or at all. This could negatively impact NRx Pharmaceuticals' business and operations and could also lead to the reduction of NRx Pharmaceuticals' operations.</w:t>
      </w:r>
    </w:p>
    <w:p>
      <w:pPr>
        <w:spacing w:after="0" w:line="9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NRx Pharmaceuticals believes that it currently has sufficient funds and, if necessary, the ability to reduce expenditures, to support operations through at least the next twelve months from the date hereof. NRx Pharmaceuticals is dependent upon obtaining necessary equity and/or debt financing to continue operating. NRx Pharmaceuticals cannot make any assurances that additional financing will be available to it and, if available, on acceptable terms or at all. This could negatively affect the Company’s business and operations and could also lead to the reduction of the Company's operations.</w:t>
      </w:r>
    </w:p>
    <w:p>
      <w:pPr>
        <w:spacing w:after="0" w:line="8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November 4, 2022, the Company issued an 9% redeemable promissory note (the “Note”) to Streeterville Capital, LLC, a Utah limited liability company, for an aggregate principal amount of $11,020,000. The Company intends to use the proceeds from such issuance for general corporate purposes. The Note matures 18 months from the date of issuance subject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to certain acceleration provisions. The Note carries an original issue discount of $1,000,000 which was deducted from the principal balance of the Note. The net proceeds from the issuance of the Note was $10,000,000 after transaction costs including the original issue discount, legal and other fees are included.</w:t>
      </w:r>
    </w:p>
    <w:p>
      <w:pPr>
        <w:spacing w:after="0" w:line="103"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The Company has the option to prepay the Note during the term by paying an amount equal to 110% of the principal, interest, and fees owed as of the prepayment date. The noteholder has the right to redeem up to $1,000,000 of the outstanding balance of the Note per month starting six months after the issuance date. Payments may be made by the Company at its option in: (i) in cash, (ii) by paying the redemption amount in the form of shares of Common Stock with the number of redemption shares being equal to the portion of the applicable redemption amount divided by the Redemption Conversion Price (as defined below), or (iii) a combination of cash and shares of common stock. The “Redemption Conversion Price” on any given redemption date equals 85% multiplied by the average of the two lowest daily volume weighted average prices per share of the common stock during the ten trading days immediately preceding the date that the noteholder delivers notice electing to redeem a portion of the Note. Beginning May 1, 2023, in the event (a) the daily dollar trading volume of the common stock of the Company on any given trading day is at least fifty percent (50%) greater than the lower of (i) the median daily dollar trading volume over the previous ten (10) trading days or (ii) the daily dollar trading volume on the trading day immediately preceding the date of measurement or (b) if the closing trade price on any given trading day is at least thirty percent (30%) greater than the Nasdaq Minimum Price, then lender will be entitled to redeem over the following ten (10) trading days an amount of indebtedness then outstanding under the Note equal to twice (2x) the monthly redemption amount of $1,000,000 solely by payment by stock, if permitted under the agreement, subject to maximum percentage and other ownership limitations.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Private Placement</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February 2, 2022, the Company completed a private placement and issued 7,824,727 shares of common stock and Preferred Investment Options to purchase up to an aggregate of 7,824,727 shares of common stock. The Preferred Investment Options have an exercise price of $3.07 per share and may be exercised any time on or after August 2, 2022.</w:t>
      </w:r>
    </w:p>
    <w:p>
      <w:pPr>
        <w:spacing w:after="0" w:line="8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form of the Preferred Investment Option is a warrant. The measurement of fair value was determined utilizing a Black-Scholes model considering all relevant assumptions current at February 2, 2022, the date of issuance (i.e., share price of $2.94, exercise price of $3.07, term of five years beginning August 2, 2022, volatility of 82.8%, risk-free rate of 1.60%, and expected dividend rate of 0%). The grant date fair value of these Preferred Investment Options was estimated to be $15.5 million on February 2, 2022 and is reflected within additional paid-in capital as of September 30, 2022.</w:t>
      </w:r>
    </w:p>
    <w:p>
      <w:pPr>
        <w:spacing w:after="0" w:line="9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addition, on February 2, 2022, the Company issued fully vested Preferred Investment Options to the placement agent with an exercise price of $3.99. As these Preferred Investment Options were issued for services provided in facilitating the private placement, the Company recorded the fair value of such Preferred Investment Options as a cost of capital on the issuance date. The measurement of fair value was determined utilizing a Black-Scholes model considering all relevant assumptions current at February 2, 2022, the date of issuance (i.e., share price of $2.94, exercise price of $3.99, term of five years beginning August 2, 2022, volatility of 82.8%, risk-free rate of 1.60%, and expected dividend rate of 0%).</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Reverse Recapitalization Merger and Subsequent Equity Issuances</w:t>
      </w:r>
    </w:p>
    <w:p>
      <w:pPr>
        <w:spacing w:after="0" w:line="158"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Pursuant to the terms of the Merger Agreement, NeuroRx’s securityholders (including option holders and warrant holders) who own NeuroRx securities immediately prior to the Effective Time will have the contingent right to receive their pro rata portion of (i) an aggregate of 25,000,000 shares of Common Stock (“Earnout Shares”) if, prior to December 31, 2022, the NeuroRx COVID-19 Drug (i.e., ZYESAMI) receives emergency use authorization by the Food and Drug Administration (“FDA”) and NeuroRx submits and the FDA files for review a new drug application for the NeuroRx COVID-19 Drug (i.e., ZYESAMI) (the occurrence of the foregoing, the “Earnout Shares Milestone”), and (ii) an aggregate of $100.0 million in cash (“Earnout Cash”) upon the earlier to occur of (x) FDA approval of the NeuroRx COVID-19 Drug (i.e., ZYESAMI) and the listing of the NeuroRx COVID-19 Drug in the FDA’s “Orange Book” and (y) FDA approval of the NeuroRx Antidepressant Drug Regimen (i.e., NRX-100/101) and the listing of the NeuroRx Antidepressant Drug Regimen (i.e., NRX-100/101) in the FDA’s “Orange Book,” in each case prior to December 31, 2022 (the occurrence of either of clauses</w:t>
      </w:r>
    </w:p>
    <w:p>
      <w:pPr>
        <w:spacing w:after="0" w:line="5" w:lineRule="exact"/>
        <w:rPr>
          <w:sz w:val="20"/>
          <w:szCs w:val="20"/>
          <w:color w:val="auto"/>
        </w:rPr>
      </w:pPr>
    </w:p>
    <w:p>
      <w:pPr>
        <w:jc w:val="both"/>
        <w:ind w:left="60" w:right="59" w:hanging="10"/>
        <w:spacing w:after="0" w:line="273" w:lineRule="auto"/>
        <w:tabs>
          <w:tab w:leader="none" w:pos="326" w:val="left"/>
        </w:tabs>
        <w:numPr>
          <w:ilvl w:val="0"/>
          <w:numId w:val="8"/>
        </w:numPr>
        <w:rPr>
          <w:rFonts w:ascii="Arial" w:cs="Arial" w:eastAsia="Arial" w:hAnsi="Arial"/>
          <w:sz w:val="17"/>
          <w:szCs w:val="17"/>
          <w:color w:val="auto"/>
        </w:rPr>
      </w:pPr>
      <w:r>
        <w:rPr>
          <w:rFonts w:ascii="Arial" w:cs="Arial" w:eastAsia="Arial" w:hAnsi="Arial"/>
          <w:sz w:val="17"/>
          <w:szCs w:val="17"/>
          <w:color w:val="auto"/>
        </w:rPr>
        <w:t>or (y), the “Earnout Cash Milestone”). If the Earnout Shares Milestone is achieved, the Earnout Shares will be issued within five (5) Business Days after the occurrence of the Earnout Shares Milestone. If the Earnout Cash Milestone is achieved, the Merger Agreement does not require the Earnout Cash to be delivered to NeuroRx securityholders within any specified period of time, and the board of directors of NRx Pharmaceuticals will use its good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faith judgment to determine the date to pay the Earnout Cash. At June 30, 2022, the fair value of the Earnout Cash liability has been estimated to be $0 million. Upon closing of the Merger, the estimated fair value of the Earnout Shares was $255.8 million with such amount recognized as a deemed dividend. As the Company is in an accumulated deficit position as of the measurement date, the resulting deemed dividend is recorded as a reduction of additional paid-in capital with a corresponding offset recorded to additional paid-in capital (i.e., net impact to additional paid-in capital of $0). The benefit of the contingent right to receive Earnout Cash for option and warrant holders occurs through the Option Exchange Ratio and therefore the amount of Earnout Cash for common stockholders is approximately $0 million.</w:t>
      </w:r>
    </w:p>
    <w:p>
      <w:pPr>
        <w:spacing w:after="0" w:line="9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connection with the Merger, a number of subscribers (each, a “Subscriber”) purchased from the Company an aggregate of 1,000,000 shares of Common Stock (the “PIPE”), for a purchase price of $10.00 per share and an aggregate purchase price of $10.0 million (the “PIPE Shares”), pursuant to separate subscription agreements (each, a “Subscription Agreement”) entered into prior to the Closing Date. The Company received $8.1 million in net proceeds after transaction costs from the sale of PIPE Shares.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selected financial information and statistics for each of the periods shown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September 30, 2022</w:t>
            </w:r>
          </w:p>
        </w:tc>
        <w:tc>
          <w:tcPr>
            <w:tcW w:w="320" w:type="dxa"/>
            <w:vAlign w:val="bottom"/>
          </w:tcPr>
          <w:p>
            <w:pPr>
              <w:spacing w:after="0"/>
              <w:rPr>
                <w:sz w:val="14"/>
                <w:szCs w:val="14"/>
                <w:color w:val="auto"/>
              </w:rPr>
            </w:pPr>
          </w:p>
        </w:tc>
        <w:tc>
          <w:tcPr>
            <w:tcW w:w="1640" w:type="dxa"/>
            <w:vAlign w:val="bottom"/>
          </w:tcPr>
          <w:p>
            <w:pPr>
              <w:jc w:val="right"/>
              <w:ind w:right="313"/>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180"/>
        </w:trPr>
        <w:tc>
          <w:tcPr>
            <w:tcW w:w="4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5"/>
              </w:rPr>
              <w:t>(Unaudited)</w:t>
            </w:r>
          </w:p>
        </w:tc>
        <w:tc>
          <w:tcPr>
            <w:tcW w:w="3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27,605</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24,824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32,729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cash liability</w:t>
            </w:r>
          </w:p>
        </w:tc>
        <w:tc>
          <w:tcPr>
            <w:tcW w:w="2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8,042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20,806</w:t>
            </w:r>
          </w:p>
        </w:tc>
        <w:tc>
          <w:tcPr>
            <w:tcW w:w="0" w:type="dxa"/>
            <w:vAlign w:val="bottom"/>
          </w:tcPr>
          <w:p>
            <w:pPr>
              <w:spacing w:after="0"/>
              <w:rPr>
                <w:sz w:val="1"/>
                <w:szCs w:val="1"/>
                <w:color w:val="auto"/>
              </w:rPr>
            </w:pPr>
          </w:p>
        </w:tc>
      </w:tr>
      <w:tr>
        <w:trPr>
          <w:trHeight w:val="432"/>
        </w:trPr>
        <w:tc>
          <w:tcPr>
            <w:tcW w:w="4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2022</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Cash Flow Data:</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100" w:type="dxa"/>
            <w:vAlign w:val="bottom"/>
            <w:gridSpan w:val="2"/>
          </w:tcPr>
          <w:p>
            <w:pPr>
              <w:jc w:val="right"/>
              <w:ind w:right="360"/>
              <w:spacing w:after="0"/>
              <w:rPr>
                <w:sz w:val="20"/>
                <w:szCs w:val="20"/>
                <w:color w:val="auto"/>
              </w:rPr>
            </w:pPr>
            <w:r>
              <w:rPr>
                <w:rFonts w:ascii="Arial" w:cs="Arial" w:eastAsia="Arial" w:hAnsi="Arial"/>
                <w:sz w:val="18"/>
                <w:szCs w:val="18"/>
                <w:color w:val="auto"/>
              </w:rPr>
              <w:t>(31,437)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(26,423)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22,092</w:t>
            </w:r>
          </w:p>
        </w:tc>
        <w:tc>
          <w:tcPr>
            <w:tcW w:w="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63,455</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(decrease) increase in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(9,356)</w:t>
            </w:r>
          </w:p>
        </w:tc>
        <w:tc>
          <w:tcPr>
            <w:tcW w:w="3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4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During the nine months ended September 30, 2022, operating activities used $31.4 million of cash, primarily resulting from a net loss of $29.5 million, increased by net non-cash gains of $2.0 million, including $4.6 million of gain from the change in fair value of earn out liability and $0.2 million of gain from the change in fair value of warrant liabilities, partially offset by $2.9 million of stock-based compensation expense, and an increase in net operating assets of less than $0.1 million.</w:t>
      </w:r>
    </w:p>
    <w:p>
      <w:pPr>
        <w:spacing w:after="0" w:line="12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During the nine months ended September 30, 2021, operating activities used $26.4 million of cash, primarily resulting from a net loss of $62.7 million, reduced by non-cash charges of $40.2 million, including $21.4 million of non-cash settlement expense related to the GEM Warrant, $12.8 million in consulting expense, $6.2 million of stock-based compensation expense, $0.8 million of change in fair value of earnout cash liability, partially offset by a gain from the change in fair value of warrant liability of $0.8 million, a gain on extinguishment of debt of $0.1 million, and an increase in net operating assets of $4.0 million.</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4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During the nine months ended September 30, 2022, financing activities provided $22.1 million of cash resulting from $22.6 million in net proceeds received by the Company from the issuance of common stock and preferred investment options in a private placement partially offset by $0.5 million of repayment of Relief Therapeutics loan.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During the nine months ended September 30, 2021, financing activities provided $63.5 million of cash, primarily resulting from $27.4 million in repayment of notes payable assumed in Merger, $16.7 million in proceeds from issuance of common stock for exercise of warrant, $11.1 million for the effect of the merger, net of transaction costs, $9.6 million in proceeds from issuance of common stock and exercise of stock options, partially offset by $1.1 million in repayment of notes payable assumed in Merger and $0.2 million in repayment of notes payable – related party.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6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See Note 8, Commitments and Contingencies, of the notes to NRx Pharmaceuticals’ unaudited condensed consolidated financial statements as of and for the three months ended months ended and nine months ended September 30, 2022 included elsewhere in this report for further discussion of NRx Pharmaceuticals' commitments and contingencies.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Milestone Payments</w:t>
      </w:r>
    </w:p>
    <w:p>
      <w:pPr>
        <w:spacing w:after="0" w:line="14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Pursuant to the legal settlement with Sarah Herzog Memorial Hospital Ezrat Nashim (“SHMH”)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NRx Pharmaceuticals is not party to any off-balance sheet transactions. NRx Pharmaceuticals has no guarantees or obligations other than those which arise out of normal business operations.</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6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NRx Pharmaceuticals' management’s discussion and analysis of its financial condition and results of operations is based on its financial statements, which have been prepared in accordance with GAAP. The preparation of these financial statements requires NRx Pharmaceuticals to make estimates, judgments and assumptions that affect the reported amounts of assets and liabilities, disclosure of contingent assets and liabilities as of the date of the balance sheet and the reported amounts of expenses during the reporting period. In accordance with GAAP, NRx Pharmaceuticals evaluates its estimates and judgments on an ongoing basis. The most significant estimates relate to the Earnout Cash Liability, stock-based compensation, and the valuation of warrants. NRx Pharmaceuticals bases its estimates and assumptions on current facts, historical experiences, and various other factors that NRx Pharmaceuticals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1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NRx Pharmaceuticals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NRx Pharmaceuticals applies those principles. While its significant accounting policies are more fully described in Note 3 to its financial statements, NRx Pharmaceuticals believes the following are the critical accounting policies used in the preparation of its financial statements that require significant estimates and judgments.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Earnout Cash Liability</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fair value of the Earnout Cash liability has been estimated using probability-weighted discounted cash flow models (DCFs) with significant inputs that are not observable in the market and thus represents a Level 3 fair value measurement as defined in ASC 820. The most significant inputs include whether (a) the FDA approves the Company’s NDAs for ZYESAMI and/or NRX-101, (b) if such approval is granted, whether such approval will be received on or before December 31, 2022, and (c) if such approval is granted, whether ZYESAMI and/or NRX-101 will be listed in the FDA’s Orange Book on or before December 31, 2022. The DCFs incorporate Level 3 inputs including estimated discount rates that we believe market participants would consider relevant in pricing and the projected timing and amount of cash flows, which are estimated and developed in consideration of the uncertainties associated with the obligations. Because: (i)</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ZYESAMI</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7"/>
          <w:szCs w:val="17"/>
          <w:color w:val="auto"/>
        </w:rPr>
        <w:t>NIH Phase III trial was stopped due to futility, and (ii) NRX-101 Phase III trial has not yet started, management estimated the probability as of September 30, 2022 of achieving the required milestones for payment of the Earnout Cash to be de minimis and therefore, the September 30, 2022 Earnout Cash liability is zero. Changes in the estimated fair value of the Earnout Cash Liability are recognized as a gain or loss in the statements of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common and preferred stock</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Prior to the Merger, in order to determine the fair value of shares of its common stock, the Company's board of directors considered, among other things, contemporaneous valuations of its common stock and preferred stock based on arms-length transactions with third party investors. Subsequent to the Merger, the Board determines the fair value of the Common Stock based on the closing market price on the date of grant.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The straight-line method of expense recognition is applied to awards with service-only conditions. We account for forfeitures as they occur.</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spacing w:after="0" w:line="179"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Placement Warrants was estimated using a Black 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 Evaluation of Disclosure Controls and Procedures</w:t>
      </w:r>
    </w:p>
    <w:p>
      <w:pPr>
        <w:spacing w:after="0" w:line="14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Chief Executive Officer and Chief Financial Officer (“certifying officers”) have conducted an evaluation of the effectiveness of the design and operation of our disclosure controls and procedures (as defined in Rules 13a-15(e) and 15d-15(e) under the Securities Exchange Act of 1934, as amended (the Exchange Act)) as of September 30, 2022. Our certifying officers concluded that, as a result of the material weakness in internal control over financial reporting as described below, our disclosure controls and procedures were not effective as of September 30, 2022.</w:t>
      </w:r>
    </w:p>
    <w:p>
      <w:pPr>
        <w:spacing w:after="0" w:line="1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Per Rules 13a-15(e) and 15d-15(e),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Chief Executive Officer and Chief Financial Officer, or persons performing similar functions, as appropriate to allow timely decisions regarding required disclosure.</w:t>
      </w:r>
    </w:p>
    <w:p>
      <w:pPr>
        <w:spacing w:after="0" w:line="20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material weakness was due to ineffective risk assessment related to review procedures for complex transactions. This led to a deficiency in the design and implementation of appropriate review controls for complex warrant transactions. The material weakness resulted in a restatement of its financial statements to reclassify the Company’s Substitute Warrants as described in the Explanatory Note to this Quarterly Report.</w:t>
      </w:r>
    </w:p>
    <w:p>
      <w:pPr>
        <w:spacing w:after="0" w:line="10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7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2"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In light of the previously noted material weakness, we are enhancing our processes and controls to identify and appropriately apply applicable accounting requirements to better evaluate and understand the nuances of the complex accounting standards that apply to our financial statements. Additionally, management is in the process of performing a risk assessment that will identify areas of increased risk in both the financial statements and business processes such as complex transactions.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On October 6, 2021, Relief Therapeutics Holding AG (“Relief Therapeutics”) filed a complaint (the “Complaint”) in New York State Court (the “NYS Court”), claiming that the Company failed to honor its obligations under the collaboration</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agreement dated September 18, 2020 (the “Collaboration Agreement”). which was followed by a counter claim from the Company for breach and repudiation of the Collaboration Agreement by Relief Therapeutics.</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 xml:space="preserve">On November 12, 2022, the Company and Relief Therapeutics entered into a Settlement Agreement and an Asset Purchase Agreement (“APA”), which are intended to resolve the parties’ claims. The parties have thirty (30) days to implement the terms of the Settlement Agreement and APA and achieve closing. Upon closing, the parties will dismiss their respective claims. </w:t>
      </w:r>
      <w:r>
        <w:rPr>
          <w:rFonts w:ascii="Arial" w:cs="Arial" w:eastAsia="Arial" w:hAnsi="Arial"/>
          <w:sz w:val="16"/>
          <w:szCs w:val="16"/>
          <w:i w:val="1"/>
          <w:iCs w:val="1"/>
          <w:color w:val="auto"/>
        </w:rPr>
        <w:t>Please See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Section 14 - Subsequent Events</w:t>
      </w:r>
      <w:r>
        <w:rPr>
          <w:rFonts w:ascii="Arial" w:cs="Arial" w:eastAsia="Arial" w:hAnsi="Arial"/>
          <w:sz w:val="16"/>
          <w:szCs w:val="16"/>
          <w:color w:val="auto"/>
        </w:rPr>
        <w:t xml:space="preserve"> </w:t>
      </w:r>
      <w:r>
        <w:rPr>
          <w:rFonts w:ascii="Arial" w:cs="Arial" w:eastAsia="Arial" w:hAnsi="Arial"/>
          <w:sz w:val="16"/>
          <w:szCs w:val="16"/>
          <w:i w:val="1"/>
          <w:iCs w:val="1"/>
          <w:color w:val="auto"/>
        </w:rPr>
        <w:t>for a description of the settlement arrangements.</w:t>
      </w:r>
    </w:p>
    <w:p>
      <w:pPr>
        <w:spacing w:after="0" w:line="15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August 12, 2022, the Company received a demand for arbitration (the “Demand”) from GEM Yield Bahamas Limited and GEM Global Yield LLC SCS (collectively, “GEM”). The Demand claims that the Company’s subsidiary, NeuroRx, Inc. (“NeuroRx"), failed to satisfy its obligation to pay GEM a commitment fee in the amount of HK$ 15,000,000 (approximately US$1,914,087 at current exchange rates) pursuant to a Share Subscription Facility Agreement, executed on October 18, 2019, by and among NeuroRx and GEM (the “Agreement”). NeuroRx expects to vigorously defend its position that payment of the commitment fee is neither due nor owing under the terms of the Agreement.</w:t>
      </w:r>
    </w:p>
    <w:p>
      <w:pPr>
        <w:spacing w:after="0" w:line="164"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In addition to the matters described above, we may become involved in various legal actions incidental to our business. As of the date hereof, we are not involved in any other legal proceedings that we believe could have a material adverse effect on our financial position or results of operations, but regardless of the outcome, litigation can have an adverse impact on the Company because of defense and settlement costs, and diversion of management resources.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have disclosed the risk factors that materially affect our business, financial condition or results of operations under the heading “Risk Factors” in our Annual Report on Form 10-K for the year ended December 31, 2021 filed with the SEC on March 31, 2022 (the “Annual Report on Form 10-K”). There have been no material changes from the risk factors previously disclosed. You should carefully consider the risk factors set forth in the Annual Report on Form 10-K and other information set forth elsewhere in this Quarterly Report on Form 10-Q. You should be aware that these risk factors and other information may not describe every risk that we face. Additional risks and uncertainties not currently known to us, or that we currently deem to be immaterial, or may not be able to assess, also may materially adversely affect our business, financial condition and/or operating results.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 Use of Proceeds from Public Offering of Common Stock</w:t>
      </w:r>
    </w:p>
    <w:p>
      <w:pPr>
        <w:spacing w:after="0" w:line="14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February 2, 2022, the Company completed a Private Placement and issued 7,824,727 shares of Common Stock for a purchase price of $3.195 per share and the Preferred Investment Options to purchase up to an aggregate of 7,824,727 shares of common stock for a purchase price of $3.07 per share from August 2, 2022 through August 2, 2027 (collectively, the “Securities”). The aggregate gross proceeds to the Company from the Private Placement were approximately $25.0 million, before deducting placement agent fees and other offering expenses. In connection with this Private Placement, the Company entered into a Registration Rights Agreement with the purchasers of the Securities. The Company’s registration statement on Form S-3 to register the Securities was declared effective on June 21, 2022.</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8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140" w:type="dxa"/>
            <w:vAlign w:val="bottom"/>
            <w:tcBorders>
              <w:bottom w:val="single" w:sz="8" w:color="auto"/>
            </w:tcBorders>
            <w:gridSpan w:val="5"/>
          </w:tcPr>
          <w:p>
            <w:pPr>
              <w:ind w:left="282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0000EE"/>
                <w:w w:val="91"/>
              </w:rPr>
              <w:t>Executive Employment Agreement, dated July 12, 2022, between NRx Pharmaceuticals, Inc. and Stephen</w:t>
            </w: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Willard.</w:t>
            </w:r>
          </w:p>
        </w:tc>
        <w:tc>
          <w:tcPr>
            <w:tcW w:w="7040" w:type="dxa"/>
            <w:vAlign w:val="bottom"/>
            <w:tcBorders>
              <w:top w:val="single" w:sz="8" w:color="0000EE"/>
            </w:tcBorders>
            <w:gridSpan w:val="4"/>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0000EE"/>
                <w:w w:val="95"/>
              </w:rPr>
              <w:t>Certification of Principal Executive Officer pursuant to Section 302 of the Sarbanes-Oxley Act of 2002.</w:t>
            </w: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74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2"/>
              </w:rPr>
              <w:t>Certification of Principal Financial Officer pursuant to Section 302 of the Sarbanes-Oxley Act of 2002.</w:t>
            </w:r>
          </w:p>
        </w:tc>
        <w:tc>
          <w:tcPr>
            <w:tcW w:w="20" w:type="dxa"/>
            <w:vAlign w:val="bottom"/>
            <w:tcBorders>
              <w:top w:val="single" w:sz="8" w:color="0000EE"/>
            </w:tcBorders>
          </w:tcPr>
          <w:p>
            <w:pPr>
              <w:spacing w:after="0"/>
              <w:rPr>
                <w:sz w:val="24"/>
                <w:szCs w:val="24"/>
                <w:color w:val="auto"/>
              </w:rPr>
            </w:pPr>
          </w:p>
        </w:tc>
        <w:tc>
          <w:tcPr>
            <w:tcW w:w="260" w:type="dxa"/>
            <w:vAlign w:val="bottom"/>
            <w:gridSpan w:val="2"/>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0000EE"/>
                <w:w w:val="95"/>
              </w:rPr>
              <w:t>Certification of Principal Executive Officer pursuant to Section 906 of the Sarbanes-Oxley Act of 2002.</w:t>
            </w: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74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of Principal Financial Officer pursuant to Section 906 of the Sarbanes-Oxley Act of 2002.</w:t>
            </w:r>
          </w:p>
        </w:tc>
        <w:tc>
          <w:tcPr>
            <w:tcW w:w="40" w:type="dxa"/>
            <w:vAlign w:val="bottom"/>
            <w:tcBorders>
              <w:top w:val="single" w:sz="8" w:color="0000EE"/>
            </w:tcBorders>
            <w:gridSpan w:val="2"/>
          </w:tcPr>
          <w:p>
            <w:pPr>
              <w:spacing w:after="0"/>
              <w:rPr>
                <w:sz w:val="24"/>
                <w:szCs w:val="24"/>
                <w:color w:val="auto"/>
              </w:rPr>
            </w:pPr>
          </w:p>
        </w:tc>
        <w:tc>
          <w:tcPr>
            <w:tcW w:w="260" w:type="dxa"/>
            <w:vAlign w:val="bottom"/>
            <w:gridSpan w:val="2"/>
          </w:tcPr>
          <w:p>
            <w:pPr>
              <w:spacing w:after="0"/>
              <w:rPr>
                <w:sz w:val="24"/>
                <w:szCs w:val="24"/>
                <w:color w:val="auto"/>
              </w:rPr>
            </w:pPr>
          </w:p>
        </w:tc>
      </w:tr>
      <w:tr>
        <w:trPr>
          <w:trHeight w:val="438"/>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auto"/>
                <w:w w:val="96"/>
              </w:rPr>
              <w:t>Interactive data files pursuant to Rule 405 of Regulation S-T formatted in Inline XBRL: (i) Condensed</w:t>
            </w: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auto"/>
              </w:rPr>
              <w:t>Consolidated Balance Sheets as of September 30, 2022 (Unaudited) and December 31, 2021;</w:t>
            </w:r>
          </w:p>
        </w:tc>
      </w:tr>
      <w:tr>
        <w:trPr>
          <w:trHeight w:val="230"/>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auto"/>
                <w:w w:val="94"/>
              </w:rPr>
              <w:t>(ii) Unaudited Condensed Consolidated Statements of Operations for the three and nine months ended</w:t>
            </w:r>
          </w:p>
        </w:tc>
      </w:tr>
    </w:tbl>
    <w:p>
      <w:pPr>
        <w:ind w:left="1240" w:right="359"/>
        <w:spacing w:after="0" w:line="273" w:lineRule="auto"/>
        <w:rPr>
          <w:sz w:val="20"/>
          <w:szCs w:val="20"/>
          <w:color w:val="auto"/>
        </w:rPr>
      </w:pPr>
      <w:r>
        <w:rPr>
          <w:rFonts w:ascii="Arial" w:cs="Arial" w:eastAsia="Arial" w:hAnsi="Arial"/>
          <w:sz w:val="17"/>
          <w:szCs w:val="17"/>
          <w:color w:val="auto"/>
        </w:rPr>
        <w:t>September 30, 2022 and 2021 ; (iii) Unaudited Condensed Consolidated Statements of Changes in Stockholders' Equity (Deficit) for the nine months ended September 30, 2022 and 2021; (iv) Unaudited Condensed Consolidated Statements of Cash Flows for the nine months ended September 30, 2022 and 2021; and (v) Notes to Unaudited Financial Statements</w:t>
      </w:r>
    </w:p>
    <w:p>
      <w:pPr>
        <w:spacing w:after="0" w:line="176" w:lineRule="exact"/>
        <w:rPr>
          <w:sz w:val="20"/>
          <w:szCs w:val="20"/>
          <w:color w:val="auto"/>
        </w:rPr>
      </w:pPr>
    </w:p>
    <w:p>
      <w:pPr>
        <w:ind w:left="1240" w:hanging="1184"/>
        <w:spacing w:after="0"/>
        <w:tabs>
          <w:tab w:leader="none" w:pos="124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in iXBRL and contained in Exhibit 101)</w:t>
      </w:r>
    </w:p>
    <w:p>
      <w:pPr>
        <w:spacing w:after="0" w:line="225" w:lineRule="exact"/>
        <w:rPr>
          <w:rFonts w:ascii="Arial" w:cs="Arial" w:eastAsia="Arial" w:hAnsi="Arial"/>
          <w:sz w:val="18"/>
          <w:szCs w:val="18"/>
          <w:color w:val="auto"/>
        </w:rPr>
      </w:pPr>
    </w:p>
    <w:p>
      <w:pPr>
        <w:ind w:left="200" w:hanging="150"/>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0" w:right="59" w:hanging="10"/>
        <w:spacing w:after="0" w:line="250" w:lineRule="auto"/>
        <w:tabs>
          <w:tab w:leader="none" w:pos="2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 w:lineRule="exact"/>
        <w:rPr>
          <w:rFonts w:ascii="Arial" w:cs="Arial" w:eastAsia="Arial" w:hAnsi="Arial"/>
          <w:sz w:val="18"/>
          <w:szCs w:val="18"/>
          <w:color w:val="auto"/>
        </w:rPr>
      </w:pPr>
    </w:p>
    <w:p>
      <w:pPr>
        <w:jc w:val="both"/>
        <w:ind w:left="60" w:right="59"/>
        <w:spacing w:after="0" w:line="253" w:lineRule="auto"/>
        <w:rPr>
          <w:rFonts w:ascii="Arial" w:cs="Arial" w:eastAsia="Arial" w:hAnsi="Arial"/>
          <w:sz w:val="18"/>
          <w:szCs w:val="18"/>
          <w:color w:val="auto"/>
        </w:rPr>
      </w:pPr>
      <w:r>
        <w:rPr>
          <w:rFonts w:ascii="Arial" w:cs="Arial" w:eastAsia="Arial" w:hAnsi="Arial"/>
          <w:sz w:val="18"/>
          <w:szCs w:val="18"/>
          <w:color w:val="auto"/>
        </w:rPr>
        <w:t>* 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NRX PHARMACEUTICALS, INC.</w:t>
      </w:r>
    </w:p>
    <w:p>
      <w:pPr>
        <w:spacing w:after="0" w:line="200" w:lineRule="exact"/>
        <w:rPr>
          <w:sz w:val="20"/>
          <w:szCs w:val="20"/>
          <w:color w:val="auto"/>
        </w:rPr>
      </w:pPr>
    </w:p>
    <w:p>
      <w:pPr>
        <w:spacing w:after="0" w:line="363" w:lineRule="exact"/>
        <w:rPr>
          <w:sz w:val="20"/>
          <w:szCs w:val="20"/>
          <w:color w:val="auto"/>
        </w:rPr>
      </w:pPr>
    </w:p>
    <w:p>
      <w:pPr>
        <w:ind w:left="60"/>
        <w:spacing w:after="0"/>
        <w:tabs>
          <w:tab w:leader="none" w:pos="4420" w:val="left"/>
          <w:tab w:leader="none" w:pos="492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Seth Van Voorhees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31750</wp:posOffset>
            </wp:positionV>
            <wp:extent cx="2871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Seth Van Voorhees</w:t>
      </w:r>
    </w:p>
    <w:p>
      <w:pPr>
        <w:spacing w:after="0" w:line="5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Chief Financial Officer</w:t>
      </w:r>
    </w:p>
    <w:p>
      <w:pPr>
        <w:spacing w:after="0" w:line="5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jc w:val="right"/>
        <w:ind w:right="219"/>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EXECUTIVE EMPLOYMENT AGREEMENT</w:t>
      </w:r>
    </w:p>
    <w:p>
      <w:pPr>
        <w:spacing w:after="0" w:line="183" w:lineRule="exact"/>
        <w:rPr>
          <w:sz w:val="20"/>
          <w:szCs w:val="20"/>
          <w:color w:val="auto"/>
        </w:rPr>
      </w:pPr>
    </w:p>
    <w:p>
      <w:pPr>
        <w:jc w:val="both"/>
        <w:ind w:left="200" w:right="219"/>
        <w:spacing w:after="0" w:line="252" w:lineRule="auto"/>
        <w:rPr>
          <w:sz w:val="20"/>
          <w:szCs w:val="20"/>
          <w:color w:val="auto"/>
        </w:rPr>
      </w:pPr>
      <w:r>
        <w:rPr>
          <w:rFonts w:ascii="Arial" w:cs="Arial" w:eastAsia="Arial" w:hAnsi="Arial"/>
          <w:sz w:val="21"/>
          <w:szCs w:val="21"/>
          <w:color w:val="auto"/>
        </w:rPr>
        <w:t>This Executive Employment Agreement (this “Agreement”) is made and entered into by and between NRx Pharmaceuticals, Inc., a Delaware corporation (the “Company”), and Stephen Willard (“Executive”) effective as of July 12, 2022 (the “Effective Date”).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RECITALS</w:t>
      </w:r>
      <w:r>
        <w:rPr>
          <w:rFonts w:ascii="Arial" w:cs="Arial" w:eastAsia="Arial" w:hAnsi="Arial"/>
          <w:sz w:val="21"/>
          <w:szCs w:val="21"/>
          <w:color w:val="auto"/>
        </w:rPr>
        <w:t>:</w:t>
      </w:r>
    </w:p>
    <w:p>
      <w:pPr>
        <w:spacing w:after="0" w:line="245" w:lineRule="exact"/>
        <w:rPr>
          <w:sz w:val="20"/>
          <w:szCs w:val="20"/>
          <w:color w:val="auto"/>
        </w:rPr>
      </w:pPr>
    </w:p>
    <w:p>
      <w:pPr>
        <w:jc w:val="both"/>
        <w:ind w:left="200" w:right="219"/>
        <w:spacing w:after="0" w:line="32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subject to the terms and conditions hereinafter set forth, the Company wishes to employ</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as its Chief Executive Officer and Executive wishes to accept such employment;</w:t>
      </w:r>
    </w:p>
    <w:p>
      <w:pPr>
        <w:spacing w:after="0" w:line="141" w:lineRule="exact"/>
        <w:rPr>
          <w:sz w:val="20"/>
          <w:szCs w:val="20"/>
          <w:color w:val="auto"/>
        </w:rPr>
      </w:pPr>
    </w:p>
    <w:p>
      <w:pPr>
        <w:jc w:val="both"/>
        <w:ind w:left="200" w:right="239"/>
        <w:spacing w:after="0" w:line="270"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foregoing premises and the mutual promises, terms,</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provisions and conditions set forth in this Agreement, the parties hereby agree:</w:t>
      </w:r>
    </w:p>
    <w:p>
      <w:pPr>
        <w:spacing w:after="0" w:line="186" w:lineRule="exact"/>
        <w:rPr>
          <w:sz w:val="20"/>
          <w:szCs w:val="20"/>
          <w:color w:val="auto"/>
        </w:rPr>
      </w:pPr>
    </w:p>
    <w:p>
      <w:pPr>
        <w:jc w:val="both"/>
        <w:ind w:left="200" w:right="219" w:firstLine="9"/>
        <w:spacing w:after="0" w:line="276" w:lineRule="auto"/>
        <w:tabs>
          <w:tab w:leader="none" w:pos="848"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Employment</w:t>
      </w:r>
      <w:r>
        <w:rPr>
          <w:rFonts w:ascii="Arial" w:cs="Arial" w:eastAsia="Arial" w:hAnsi="Arial"/>
          <w:sz w:val="19"/>
          <w:szCs w:val="19"/>
          <w:color w:val="auto"/>
        </w:rPr>
        <w:t>. Subject to the terms and conditions set forth in this Agreement,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hereby offers, and Executive hereby accepts, employment by the Company as the Company’s Chief Executive Officer on the terms and conditions set forth in this Agreement. Executive’s primary workplace, as assigned by the Company and per the requirements of the Company, shall be his home in Chevy Chase, Maryland, and Executive may conduct business from home, including confidential tele/videoconferences and safekeeping of confidential documents. Executive confirms that he is able to do so and that the Company is not liable for any expenses for the maintenance of such home office. Executive is also solely responsible for compliance with local ordinances and payment of any fees that may arise from home office-based work. Executive acknowledges and agrees that he shall be required to travel for work, as reasonably required by the Company.</w:t>
      </w:r>
    </w:p>
    <w:p>
      <w:pPr>
        <w:spacing w:after="0" w:line="173" w:lineRule="exact"/>
        <w:rPr>
          <w:rFonts w:ascii="Arial" w:cs="Arial" w:eastAsia="Arial" w:hAnsi="Arial"/>
          <w:sz w:val="19"/>
          <w:szCs w:val="19"/>
          <w:color w:val="auto"/>
        </w:rPr>
      </w:pPr>
    </w:p>
    <w:p>
      <w:pPr>
        <w:jc w:val="both"/>
        <w:ind w:left="200" w:right="219" w:firstLine="9"/>
        <w:spacing w:after="0" w:line="265" w:lineRule="auto"/>
        <w:tabs>
          <w:tab w:leader="none" w:pos="848"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Term</w:t>
      </w:r>
      <w:r>
        <w:rPr>
          <w:rFonts w:ascii="Arial" w:cs="Arial" w:eastAsia="Arial" w:hAnsi="Arial"/>
          <w:sz w:val="20"/>
          <w:szCs w:val="20"/>
          <w:color w:val="auto"/>
        </w:rPr>
        <w:t>. Subject to earlier termination as hereafter provided, this Agreement shall have an</w:t>
      </w:r>
      <w:r>
        <w:rPr>
          <w:rFonts w:ascii="Arial" w:cs="Arial" w:eastAsia="Arial" w:hAnsi="Arial"/>
          <w:sz w:val="20"/>
          <w:szCs w:val="20"/>
          <w:b w:val="1"/>
          <w:bCs w:val="1"/>
          <w:color w:val="auto"/>
        </w:rPr>
        <w:t xml:space="preserve"> </w:t>
      </w:r>
      <w:r>
        <w:rPr>
          <w:rFonts w:ascii="Arial" w:cs="Arial" w:eastAsia="Arial" w:hAnsi="Arial"/>
          <w:sz w:val="20"/>
          <w:szCs w:val="20"/>
          <w:color w:val="auto"/>
        </w:rPr>
        <w:t>original term of two (2) years commencing on the Effective Date and shall be automatically extended thereafter for successive terms of one (1) year each, unless Company provides Executive with notice of non-renewal at least ninety (90) days prior to the expiration of such term or unless Executive’s employment with the Company is terminated in accordance with the provisions of Section 5 hereof. The term of this Agreement, as from time to time extended or renewed, is hereafter referred to as “the term of this Agreement” or “the term hereof.”</w:t>
      </w:r>
    </w:p>
    <w:p>
      <w:pPr>
        <w:spacing w:after="0" w:line="193" w:lineRule="exact"/>
        <w:rPr>
          <w:rFonts w:ascii="Arial" w:cs="Arial" w:eastAsia="Arial" w:hAnsi="Arial"/>
          <w:sz w:val="20"/>
          <w:szCs w:val="20"/>
          <w:color w:val="auto"/>
        </w:rPr>
      </w:pPr>
    </w:p>
    <w:p>
      <w:pPr>
        <w:ind w:left="860" w:hanging="651"/>
        <w:spacing w:after="0"/>
        <w:tabs>
          <w:tab w:leader="none" w:pos="860" w:val="left"/>
        </w:tabs>
        <w:numPr>
          <w:ilvl w:val="0"/>
          <w:numId w:val="11"/>
        </w:numPr>
        <w:rPr>
          <w:rFonts w:ascii="Arial" w:cs="Arial" w:eastAsia="Arial" w:hAnsi="Arial"/>
          <w:sz w:val="21"/>
          <w:szCs w:val="21"/>
          <w:color w:val="auto"/>
        </w:rPr>
      </w:pPr>
      <w:r>
        <w:rPr>
          <w:rFonts w:ascii="Arial" w:cs="Arial" w:eastAsia="Arial" w:hAnsi="Arial"/>
          <w:sz w:val="21"/>
          <w:szCs w:val="21"/>
          <w:b w:val="1"/>
          <w:bCs w:val="1"/>
          <w:color w:val="auto"/>
        </w:rPr>
        <w:t>Capacity and Performance</w:t>
      </w:r>
      <w:r>
        <w:rPr>
          <w:rFonts w:ascii="Arial" w:cs="Arial" w:eastAsia="Arial" w:hAnsi="Arial"/>
          <w:sz w:val="21"/>
          <w:szCs w:val="21"/>
          <w:color w:val="auto"/>
        </w:rPr>
        <w:t>.</w:t>
      </w:r>
    </w:p>
    <w:p>
      <w:pPr>
        <w:spacing w:after="0" w:line="197" w:lineRule="exact"/>
        <w:rPr>
          <w:sz w:val="20"/>
          <w:szCs w:val="20"/>
          <w:color w:val="auto"/>
        </w:rPr>
      </w:pPr>
    </w:p>
    <w:p>
      <w:pPr>
        <w:ind w:left="860" w:right="239" w:hanging="651"/>
        <w:spacing w:after="0" w:line="277" w:lineRule="auto"/>
        <w:tabs>
          <w:tab w:leader="none" w:pos="8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During the term hereof, Executive shall serve the Company as its Chief Executive Officer reporting to the Board of Directors (“Board”) of the Company.</w:t>
      </w:r>
    </w:p>
    <w:p>
      <w:pPr>
        <w:spacing w:after="0" w:line="212" w:lineRule="exact"/>
        <w:rPr>
          <w:rFonts w:ascii="Arial" w:cs="Arial" w:eastAsia="Arial" w:hAnsi="Arial"/>
          <w:sz w:val="21"/>
          <w:szCs w:val="21"/>
          <w:color w:val="auto"/>
        </w:rPr>
      </w:pPr>
    </w:p>
    <w:p>
      <w:pPr>
        <w:jc w:val="both"/>
        <w:ind w:left="860" w:right="239" w:hanging="651"/>
        <w:spacing w:after="0" w:line="262" w:lineRule="auto"/>
        <w:tabs>
          <w:tab w:leader="none" w:pos="8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During the term hereof, Executive shall be employed by the Company on a full-time basis and shall perform the duties of his position and such other duties on behalf of the Company, reasonably consistent with his position, as may be designated from time to time by the Company’s Board.</w:t>
      </w:r>
    </w:p>
    <w:p>
      <w:pPr>
        <w:spacing w:after="0" w:line="228" w:lineRule="exact"/>
        <w:rPr>
          <w:rFonts w:ascii="Arial" w:cs="Arial" w:eastAsia="Arial" w:hAnsi="Arial"/>
          <w:sz w:val="21"/>
          <w:szCs w:val="21"/>
          <w:color w:val="auto"/>
        </w:rPr>
      </w:pPr>
    </w:p>
    <w:p>
      <w:pPr>
        <w:jc w:val="both"/>
        <w:ind w:left="860" w:right="219" w:hanging="651"/>
        <w:spacing w:after="0" w:line="294" w:lineRule="auto"/>
        <w:tabs>
          <w:tab w:leader="none" w:pos="8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During the term hereof, Executive shall devote his commercially reasonable full-time efforts, business judgment, skill and knowledge to the advancement of the business and interests of the Company and to the discharge of his duties and responsibilities hereunder. Executive shall not engage in any other business activity that is in conflict to, or competitive with, the Company or its business or with Executive’s duties and responsibilities hereunder.</w:t>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 xml:space="preserve">1 | </w:t>
      </w:r>
      <w:r>
        <w:rPr>
          <w:rFonts w:ascii="Arial" w:cs="Arial" w:eastAsia="Arial" w:hAnsi="Arial"/>
          <w:sz w:val="19"/>
          <w:szCs w:val="19"/>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521970</wp:posOffset>
            </wp:positionV>
            <wp:extent cx="54521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-137795</wp:posOffset>
            </wp:positionV>
            <wp:extent cx="54521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43" w:name="page44"/>
    <w:bookmarkEnd w:id="43"/>
    <w:p>
      <w:pPr>
        <w:ind w:left="860" w:right="239" w:hanging="651"/>
        <w:spacing w:after="0" w:line="277" w:lineRule="auto"/>
        <w:tabs>
          <w:tab w:leader="none" w:pos="860" w:val="left"/>
        </w:tabs>
        <w:numPr>
          <w:ilvl w:val="0"/>
          <w:numId w:val="13"/>
        </w:numPr>
        <w:rPr>
          <w:rFonts w:ascii="Arial" w:cs="Arial" w:eastAsia="Arial" w:hAnsi="Arial"/>
          <w:sz w:val="21"/>
          <w:szCs w:val="21"/>
          <w:color w:val="auto"/>
        </w:rPr>
      </w:pPr>
      <w:r>
        <w:rPr>
          <w:rFonts w:ascii="Arial" w:cs="Arial" w:eastAsia="Arial" w:hAnsi="Arial"/>
          <w:sz w:val="21"/>
          <w:szCs w:val="21"/>
          <w:color w:val="auto"/>
        </w:rPr>
        <w:t>Executive will be appointed to the Board to fill one of the vacant seats on the Board within thirty (30) days following the Effective Date.</w:t>
      </w:r>
    </w:p>
    <w:p>
      <w:pPr>
        <w:spacing w:after="0" w:line="212" w:lineRule="exact"/>
        <w:rPr>
          <w:rFonts w:ascii="Arial" w:cs="Arial" w:eastAsia="Arial" w:hAnsi="Arial"/>
          <w:sz w:val="21"/>
          <w:szCs w:val="21"/>
          <w:color w:val="auto"/>
        </w:rPr>
      </w:pPr>
    </w:p>
    <w:p>
      <w:pPr>
        <w:jc w:val="both"/>
        <w:ind w:left="860" w:right="219" w:hanging="651"/>
        <w:spacing w:after="0" w:line="273" w:lineRule="auto"/>
        <w:tabs>
          <w:tab w:leader="none" w:pos="860" w:val="left"/>
        </w:tabs>
        <w:numPr>
          <w:ilvl w:val="0"/>
          <w:numId w:val="13"/>
        </w:numPr>
        <w:rPr>
          <w:rFonts w:ascii="Arial" w:cs="Arial" w:eastAsia="Arial" w:hAnsi="Arial"/>
          <w:sz w:val="21"/>
          <w:szCs w:val="21"/>
          <w:color w:val="auto"/>
        </w:rPr>
      </w:pPr>
      <w:r>
        <w:rPr>
          <w:rFonts w:ascii="Arial" w:cs="Arial" w:eastAsia="Arial" w:hAnsi="Arial"/>
          <w:sz w:val="21"/>
          <w:szCs w:val="21"/>
          <w:color w:val="auto"/>
        </w:rPr>
        <w:t>During the term hereof, the Company shall provide Executive with the same indemnification rights and liability insurance coverage that it provides to other officers and directors of the Company.</w:t>
      </w:r>
    </w:p>
    <w:p>
      <w:pPr>
        <w:spacing w:after="0" w:line="201" w:lineRule="exact"/>
        <w:rPr>
          <w:rFonts w:ascii="Arial" w:cs="Arial" w:eastAsia="Arial" w:hAnsi="Arial"/>
          <w:sz w:val="21"/>
          <w:szCs w:val="21"/>
          <w:color w:val="auto"/>
        </w:rPr>
      </w:pPr>
    </w:p>
    <w:p>
      <w:pPr>
        <w:ind w:left="860" w:right="219" w:hanging="651"/>
        <w:spacing w:after="0" w:line="332" w:lineRule="auto"/>
        <w:tabs>
          <w:tab w:leader="none" w:pos="8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If requested by the Company, during the term hereof, Executive shall serve as a director, manager or officer of the Company and any of its affiliates for no additional compensation.</w:t>
      </w:r>
    </w:p>
    <w:p>
      <w:pPr>
        <w:spacing w:after="0" w:line="132" w:lineRule="exact"/>
        <w:rPr>
          <w:sz w:val="20"/>
          <w:szCs w:val="20"/>
          <w:color w:val="auto"/>
        </w:rPr>
      </w:pPr>
    </w:p>
    <w:p>
      <w:pPr>
        <w:jc w:val="both"/>
        <w:ind w:left="200" w:right="219" w:firstLine="9"/>
        <w:spacing w:after="0" w:line="255" w:lineRule="auto"/>
        <w:tabs>
          <w:tab w:leader="none" w:pos="426" w:val="left"/>
        </w:tabs>
        <w:numPr>
          <w:ilvl w:val="0"/>
          <w:numId w:val="14"/>
        </w:numPr>
        <w:rPr>
          <w:rFonts w:ascii="Arial" w:cs="Arial" w:eastAsia="Arial" w:hAnsi="Arial"/>
          <w:sz w:val="21"/>
          <w:szCs w:val="21"/>
          <w:color w:val="auto"/>
        </w:rPr>
      </w:pPr>
      <w:r>
        <w:rPr>
          <w:rFonts w:ascii="Arial" w:cs="Arial" w:eastAsia="Arial" w:hAnsi="Arial"/>
          <w:sz w:val="21"/>
          <w:szCs w:val="21"/>
          <w:b w:val="1"/>
          <w:bCs w:val="1"/>
          <w:color w:val="auto"/>
        </w:rPr>
        <w:t>Compensation and Benefits</w:t>
      </w:r>
      <w:r>
        <w:rPr>
          <w:rFonts w:ascii="Arial" w:cs="Arial" w:eastAsia="Arial" w:hAnsi="Arial"/>
          <w:sz w:val="21"/>
          <w:szCs w:val="21"/>
          <w:color w:val="auto"/>
        </w:rPr>
        <w:t>. As compensation for all services performed by Executive under and</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term hereof and subject to performance of Executive’s duties and of the obligations of Executive to the Company pursuant to this Agreement or otherwise:</w:t>
      </w:r>
    </w:p>
    <w:p>
      <w:pPr>
        <w:spacing w:after="0" w:line="202" w:lineRule="exact"/>
        <w:rPr>
          <w:sz w:val="20"/>
          <w:szCs w:val="20"/>
          <w:color w:val="auto"/>
        </w:rPr>
      </w:pPr>
    </w:p>
    <w:p>
      <w:pPr>
        <w:jc w:val="both"/>
        <w:ind w:left="200" w:right="219" w:firstLine="9"/>
        <w:spacing w:after="0" w:line="290" w:lineRule="auto"/>
        <w:tabs>
          <w:tab w:leader="none" w:pos="487" w:val="left"/>
        </w:tabs>
        <w:numPr>
          <w:ilvl w:val="0"/>
          <w:numId w:val="15"/>
        </w:numPr>
        <w:rPr>
          <w:rFonts w:ascii="Arial" w:cs="Arial" w:eastAsia="Arial" w:hAnsi="Arial"/>
          <w:sz w:val="19"/>
          <w:szCs w:val="19"/>
          <w:color w:val="auto"/>
        </w:rPr>
      </w:pPr>
      <w:r>
        <w:rPr>
          <w:rFonts w:ascii="Arial" w:cs="Arial" w:eastAsia="Arial" w:hAnsi="Arial"/>
          <w:sz w:val="19"/>
          <w:szCs w:val="19"/>
          <w:b w:val="1"/>
          <w:bCs w:val="1"/>
          <w:color w:val="auto"/>
        </w:rPr>
        <w:t>Base Salary</w:t>
      </w:r>
      <w:r>
        <w:rPr>
          <w:rFonts w:ascii="Arial" w:cs="Arial" w:eastAsia="Arial" w:hAnsi="Arial"/>
          <w:sz w:val="19"/>
          <w:szCs w:val="19"/>
          <w:color w:val="auto"/>
        </w:rPr>
        <w:t>. The Company shall pay Executive a base salary at the rate of five hundred thousand</w:t>
      </w:r>
      <w:r>
        <w:rPr>
          <w:rFonts w:ascii="Arial" w:cs="Arial" w:eastAsia="Arial" w:hAnsi="Arial"/>
          <w:sz w:val="19"/>
          <w:szCs w:val="19"/>
          <w:b w:val="1"/>
          <w:bCs w:val="1"/>
          <w:color w:val="auto"/>
        </w:rPr>
        <w:t xml:space="preserve"> </w:t>
      </w:r>
      <w:r>
        <w:rPr>
          <w:rFonts w:ascii="Arial" w:cs="Arial" w:eastAsia="Arial" w:hAnsi="Arial"/>
          <w:sz w:val="19"/>
          <w:szCs w:val="19"/>
          <w:color w:val="auto"/>
        </w:rPr>
        <w:t>dollars ($500,000) per annum (i.e., $41,666.67 per month), payable in accordance with the payroll practices of the Company for its executives and subject to increase from time to time by the Board. Such base salary, as from time to time is increased, is hereafter referred to as the “Base Salary.”</w:t>
      </w:r>
    </w:p>
    <w:p>
      <w:pPr>
        <w:spacing w:after="0" w:line="158" w:lineRule="exact"/>
        <w:rPr>
          <w:rFonts w:ascii="Arial" w:cs="Arial" w:eastAsia="Arial" w:hAnsi="Arial"/>
          <w:sz w:val="19"/>
          <w:szCs w:val="19"/>
          <w:color w:val="auto"/>
        </w:rPr>
      </w:pPr>
    </w:p>
    <w:p>
      <w:pPr>
        <w:jc w:val="both"/>
        <w:ind w:left="200" w:right="219" w:firstLine="9"/>
        <w:spacing w:after="0" w:line="281" w:lineRule="auto"/>
        <w:tabs>
          <w:tab w:leader="none" w:pos="512" w:val="left"/>
        </w:tabs>
        <w:numPr>
          <w:ilvl w:val="0"/>
          <w:numId w:val="15"/>
        </w:numPr>
        <w:rPr>
          <w:rFonts w:ascii="Arial" w:cs="Arial" w:eastAsia="Arial" w:hAnsi="Arial"/>
          <w:sz w:val="19"/>
          <w:szCs w:val="19"/>
          <w:color w:val="auto"/>
        </w:rPr>
      </w:pPr>
      <w:r>
        <w:rPr>
          <w:rFonts w:ascii="Arial" w:cs="Arial" w:eastAsia="Arial" w:hAnsi="Arial"/>
          <w:sz w:val="19"/>
          <w:szCs w:val="19"/>
          <w:b w:val="1"/>
          <w:bCs w:val="1"/>
          <w:color w:val="auto"/>
        </w:rPr>
        <w:t>Incentive and Bonus Compensation</w:t>
      </w:r>
      <w:r>
        <w:rPr>
          <w:rFonts w:ascii="Arial" w:cs="Arial" w:eastAsia="Arial" w:hAnsi="Arial"/>
          <w:sz w:val="19"/>
          <w:szCs w:val="19"/>
          <w:color w:val="auto"/>
        </w:rPr>
        <w:t>. Executive shall be considered annually by the Board for a</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performance-based bonus (the “Annual Bonus”) with a minimum target (the “Target Bonus”) of Fifty Percent (50%) of Base Salary (i.e., $250,000 based on the initial Base Salary) at the discretion of the Board and upon satisfactory performance of his duties. The Target Bonus is payable in March of the following year subject to continued employment on the payment date, in accordance with the payroll and bonus practices of the Company. The Target Bonus for 2022 shall be pro-rated based on the number of days Executive is employed by the Company during the year.</w:t>
      </w:r>
    </w:p>
    <w:p>
      <w:pPr>
        <w:spacing w:after="0" w:line="180" w:lineRule="exact"/>
        <w:rPr>
          <w:rFonts w:ascii="Arial" w:cs="Arial" w:eastAsia="Arial" w:hAnsi="Arial"/>
          <w:sz w:val="19"/>
          <w:szCs w:val="19"/>
          <w:color w:val="auto"/>
        </w:rPr>
      </w:pPr>
    </w:p>
    <w:p>
      <w:pPr>
        <w:jc w:val="both"/>
        <w:ind w:left="200" w:right="219" w:firstLine="9"/>
        <w:spacing w:after="0" w:line="264" w:lineRule="auto"/>
        <w:tabs>
          <w:tab w:leader="none" w:pos="487"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 xml:space="preserve">Equity Compensation. </w:t>
      </w:r>
      <w:r>
        <w:rPr>
          <w:rFonts w:ascii="Arial" w:cs="Arial" w:eastAsia="Arial" w:hAnsi="Arial"/>
          <w:sz w:val="20"/>
          <w:szCs w:val="20"/>
          <w:color w:val="auto"/>
        </w:rPr>
        <w:t>As an inducement to join the Company, Executive shall be awarded a grant</w:t>
      </w:r>
      <w:r>
        <w:rPr>
          <w:rFonts w:ascii="Arial" w:cs="Arial" w:eastAsia="Arial" w:hAnsi="Arial"/>
          <w:sz w:val="20"/>
          <w:szCs w:val="20"/>
          <w:b w:val="1"/>
          <w:bCs w:val="1"/>
          <w:color w:val="auto"/>
        </w:rPr>
        <w:t xml:space="preserve"> </w:t>
      </w:r>
      <w:r>
        <w:rPr>
          <w:rFonts w:ascii="Arial" w:cs="Arial" w:eastAsia="Arial" w:hAnsi="Arial"/>
          <w:sz w:val="20"/>
          <w:szCs w:val="20"/>
          <w:color w:val="auto"/>
        </w:rPr>
        <w:t>of 1,000,000 shares of restricted stock of the Company under the terms of a separate equity award agreement which shall be designed to comply with the NASDAQ inducement exemption and such award shall be subject to the terms and conditions as set forth in the award agreement (including, without limitation, annual vesting over a three-year period).</w:t>
      </w:r>
    </w:p>
    <w:p>
      <w:pPr>
        <w:spacing w:after="0" w:line="193" w:lineRule="exact"/>
        <w:rPr>
          <w:rFonts w:ascii="Arial" w:cs="Arial" w:eastAsia="Arial" w:hAnsi="Arial"/>
          <w:sz w:val="20"/>
          <w:szCs w:val="20"/>
          <w:color w:val="auto"/>
        </w:rPr>
      </w:pPr>
    </w:p>
    <w:p>
      <w:pPr>
        <w:jc w:val="both"/>
        <w:ind w:left="200" w:right="219" w:firstLine="9"/>
        <w:spacing w:after="0" w:line="255" w:lineRule="auto"/>
        <w:tabs>
          <w:tab w:leader="none" w:pos="512" w:val="left"/>
        </w:tabs>
        <w:numPr>
          <w:ilvl w:val="0"/>
          <w:numId w:val="15"/>
        </w:numPr>
        <w:rPr>
          <w:rFonts w:ascii="Arial" w:cs="Arial" w:eastAsia="Arial" w:hAnsi="Arial"/>
          <w:sz w:val="21"/>
          <w:szCs w:val="21"/>
          <w:color w:val="auto"/>
        </w:rPr>
      </w:pPr>
      <w:r>
        <w:rPr>
          <w:rFonts w:ascii="Arial" w:cs="Arial" w:eastAsia="Arial" w:hAnsi="Arial"/>
          <w:sz w:val="21"/>
          <w:szCs w:val="21"/>
          <w:b w:val="1"/>
          <w:bCs w:val="1"/>
          <w:color w:val="auto"/>
        </w:rPr>
        <w:t>Vacations</w:t>
      </w:r>
      <w:r>
        <w:rPr>
          <w:rFonts w:ascii="Arial" w:cs="Arial" w:eastAsia="Arial" w:hAnsi="Arial"/>
          <w:sz w:val="21"/>
          <w:szCs w:val="21"/>
          <w:color w:val="auto"/>
        </w:rPr>
        <w:t>. Executive shall be entitled to four (4) weeks of vacation a year (pro-rated for partial</w:t>
      </w:r>
      <w:r>
        <w:rPr>
          <w:rFonts w:ascii="Arial" w:cs="Arial" w:eastAsia="Arial" w:hAnsi="Arial"/>
          <w:sz w:val="21"/>
          <w:szCs w:val="21"/>
          <w:b w:val="1"/>
          <w:bCs w:val="1"/>
          <w:color w:val="auto"/>
        </w:rPr>
        <w:t xml:space="preserve"> </w:t>
      </w:r>
      <w:r>
        <w:rPr>
          <w:rFonts w:ascii="Arial" w:cs="Arial" w:eastAsia="Arial" w:hAnsi="Arial"/>
          <w:sz w:val="21"/>
          <w:szCs w:val="21"/>
          <w:color w:val="auto"/>
        </w:rPr>
        <w:t>years of employment), to be taken at such times and intervals as shall be determined by Executive, subject to the reasonable business needs of the Company and with the approval of the Company’s Board.</w:t>
      </w:r>
    </w:p>
    <w:p>
      <w:pPr>
        <w:spacing w:after="0" w:line="202" w:lineRule="exact"/>
        <w:rPr>
          <w:rFonts w:ascii="Arial" w:cs="Arial" w:eastAsia="Arial" w:hAnsi="Arial"/>
          <w:sz w:val="21"/>
          <w:szCs w:val="21"/>
          <w:color w:val="auto"/>
        </w:rPr>
      </w:pPr>
    </w:p>
    <w:p>
      <w:pPr>
        <w:jc w:val="both"/>
        <w:ind w:left="200" w:right="219" w:firstLine="9"/>
        <w:spacing w:after="0" w:line="281" w:lineRule="auto"/>
        <w:tabs>
          <w:tab w:leader="none" w:pos="500" w:val="left"/>
        </w:tabs>
        <w:numPr>
          <w:ilvl w:val="0"/>
          <w:numId w:val="15"/>
        </w:numPr>
        <w:rPr>
          <w:rFonts w:ascii="Arial" w:cs="Arial" w:eastAsia="Arial" w:hAnsi="Arial"/>
          <w:sz w:val="19"/>
          <w:szCs w:val="19"/>
          <w:color w:val="auto"/>
        </w:rPr>
      </w:pPr>
      <w:r>
        <w:rPr>
          <w:rFonts w:ascii="Arial" w:cs="Arial" w:eastAsia="Arial" w:hAnsi="Arial"/>
          <w:sz w:val="19"/>
          <w:szCs w:val="19"/>
          <w:b w:val="1"/>
          <w:bCs w:val="1"/>
          <w:color w:val="auto"/>
        </w:rPr>
        <w:t>Other Benefits</w:t>
      </w:r>
      <w:r>
        <w:rPr>
          <w:rFonts w:ascii="Arial" w:cs="Arial" w:eastAsia="Arial" w:hAnsi="Arial"/>
          <w:sz w:val="19"/>
          <w:szCs w:val="19"/>
          <w:color w:val="auto"/>
        </w:rPr>
        <w:t>. Executive shall be either provided with an employer-sponsored health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plan that meets the requirements of the Affordable Care Act (premium payment to be covered by the Company consistent with the Company’s cost sharing for employer sponsored health insurance). Executive shall be entitled to participate in employee benefit plans from time to time in effect for US-based employees of the Company generally. Such participation shall be subject to the terms of the applicable plan documents and generally applicable Company policies.</w:t>
      </w:r>
    </w:p>
    <w:p>
      <w:pPr>
        <w:spacing w:after="0" w:line="166" w:lineRule="exact"/>
        <w:rPr>
          <w:rFonts w:ascii="Arial" w:cs="Arial" w:eastAsia="Arial" w:hAnsi="Arial"/>
          <w:sz w:val="19"/>
          <w:szCs w:val="19"/>
          <w:color w:val="auto"/>
        </w:rPr>
      </w:pPr>
    </w:p>
    <w:p>
      <w:pPr>
        <w:jc w:val="both"/>
        <w:ind w:left="200" w:right="219" w:firstLine="9"/>
        <w:spacing w:after="0" w:line="252" w:lineRule="auto"/>
        <w:tabs>
          <w:tab w:leader="none" w:pos="478" w:val="left"/>
        </w:tabs>
        <w:numPr>
          <w:ilvl w:val="0"/>
          <w:numId w:val="15"/>
        </w:numPr>
        <w:rPr>
          <w:rFonts w:ascii="Arial" w:cs="Arial" w:eastAsia="Arial" w:hAnsi="Arial"/>
          <w:sz w:val="21"/>
          <w:szCs w:val="21"/>
          <w:color w:val="auto"/>
        </w:rPr>
      </w:pPr>
      <w:r>
        <w:rPr>
          <w:rFonts w:ascii="Arial" w:cs="Arial" w:eastAsia="Arial" w:hAnsi="Arial"/>
          <w:sz w:val="21"/>
          <w:szCs w:val="21"/>
          <w:b w:val="1"/>
          <w:bCs w:val="1"/>
          <w:color w:val="auto"/>
        </w:rPr>
        <w:t>Business Expenses</w:t>
      </w:r>
      <w:r>
        <w:rPr>
          <w:rFonts w:ascii="Arial" w:cs="Arial" w:eastAsia="Arial" w:hAnsi="Arial"/>
          <w:sz w:val="21"/>
          <w:szCs w:val="21"/>
          <w:color w:val="auto"/>
        </w:rPr>
        <w:t>. The Company shall pay or reimburse Executive for all reasonable customary</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expenses incurred or paid by Executive in the performance of his duties and responsibilities hereunder, subject to any maximum annual limit and other restrictions on such expenses set by the Board and to such reasonable substantiation and documentation as may be specified by the Company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253365</wp:posOffset>
            </wp:positionV>
            <wp:extent cx="54521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2 | </w:t>
      </w:r>
      <w:r>
        <w:rPr>
          <w:rFonts w:ascii="Arial" w:cs="Arial" w:eastAsia="Arial" w:hAnsi="Arial"/>
          <w:sz w:val="16"/>
          <w:szCs w:val="16"/>
          <w:b w:val="1"/>
          <w:bCs w:val="1"/>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540385</wp:posOffset>
            </wp:positionV>
            <wp:extent cx="545211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type w:val="continuous"/>
        </w:sectPr>
      </w:pPr>
    </w:p>
    <w:bookmarkStart w:id="44" w:name="page45"/>
    <w:bookmarkEnd w:id="44"/>
    <w:p>
      <w:pPr>
        <w:jc w:val="both"/>
        <w:ind w:left="200" w:right="219" w:firstLine="9"/>
        <w:spacing w:after="0" w:line="255" w:lineRule="auto"/>
        <w:tabs>
          <w:tab w:leader="none" w:pos="447" w:val="left"/>
        </w:tabs>
        <w:numPr>
          <w:ilvl w:val="0"/>
          <w:numId w:val="16"/>
        </w:numPr>
        <w:rPr>
          <w:rFonts w:ascii="Arial" w:cs="Arial" w:eastAsia="Arial" w:hAnsi="Arial"/>
          <w:sz w:val="21"/>
          <w:szCs w:val="21"/>
          <w:color w:val="auto"/>
        </w:rPr>
      </w:pPr>
      <w:r>
        <w:rPr>
          <w:rFonts w:ascii="Arial" w:cs="Arial" w:eastAsia="Arial" w:hAnsi="Arial"/>
          <w:sz w:val="21"/>
          <w:szCs w:val="21"/>
          <w:b w:val="1"/>
          <w:bCs w:val="1"/>
          <w:color w:val="auto"/>
        </w:rPr>
        <w:t xml:space="preserve">Termination of Employment. </w:t>
      </w:r>
      <w:r>
        <w:rPr>
          <w:rFonts w:ascii="Arial" w:cs="Arial" w:eastAsia="Arial" w:hAnsi="Arial"/>
          <w:sz w:val="21"/>
          <w:szCs w:val="21"/>
          <w:color w:val="auto"/>
        </w:rPr>
        <w:t>Notwithstanding the provisions of Section 2 hereof,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hereunder shall terminate prior to the expiration of the term hereof under the following circumstances:</w:t>
      </w:r>
    </w:p>
    <w:p>
      <w:pPr>
        <w:spacing w:after="0" w:line="202" w:lineRule="exact"/>
        <w:rPr>
          <w:sz w:val="20"/>
          <w:szCs w:val="20"/>
          <w:color w:val="auto"/>
        </w:rPr>
      </w:pPr>
    </w:p>
    <w:p>
      <w:pPr>
        <w:jc w:val="both"/>
        <w:ind w:left="200" w:right="219" w:firstLine="9"/>
        <w:spacing w:after="0" w:line="276" w:lineRule="auto"/>
        <w:tabs>
          <w:tab w:leader="none" w:pos="487"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Death</w:t>
      </w:r>
      <w:r>
        <w:rPr>
          <w:rFonts w:ascii="Arial" w:cs="Arial" w:eastAsia="Arial" w:hAnsi="Arial"/>
          <w:sz w:val="19"/>
          <w:szCs w:val="19"/>
          <w:color w:val="auto"/>
        </w:rPr>
        <w:t>. In the event of Executive’s death during the term hereof, Executive’s employment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shall immediately and automatically terminate. In such event, the Company shall pay to Executive’s designated beneficiary or, if no beneficiary has been designated by Executive, to his estate, (i) the Base Salary earned but not paid through the date of termination, (ii) pay for any vacation time earned but not used through the date of termination, (iii) any Annual Bonus earned for the year preceding that in which termination occurs but unpaid on the date of termination and (iv) any business expenses incurred by Executive but not reimbursed on the date of termination, provided that such expenses and required substantiation and documentation are submitted within ninety (90) days of termination and that such expenses are reimbursable under Company policy (all of the foregoing, “Final Compensation”). The Company shall have no further obligation to Executive.</w:t>
      </w:r>
    </w:p>
    <w:p>
      <w:pPr>
        <w:spacing w:after="0" w:line="200" w:lineRule="exact"/>
        <w:rPr>
          <w:rFonts w:ascii="Arial" w:cs="Arial" w:eastAsia="Arial" w:hAnsi="Arial"/>
          <w:sz w:val="19"/>
          <w:szCs w:val="19"/>
          <w:color w:val="auto"/>
        </w:rPr>
      </w:pPr>
    </w:p>
    <w:p>
      <w:pPr>
        <w:ind w:left="500" w:hanging="291"/>
        <w:spacing w:after="0"/>
        <w:tabs>
          <w:tab w:leader="none" w:pos="500" w:val="left"/>
        </w:tabs>
        <w:numPr>
          <w:ilvl w:val="0"/>
          <w:numId w:val="17"/>
        </w:numPr>
        <w:rPr>
          <w:rFonts w:ascii="Arial" w:cs="Arial" w:eastAsia="Arial" w:hAnsi="Arial"/>
          <w:sz w:val="21"/>
          <w:szCs w:val="21"/>
          <w:color w:val="auto"/>
        </w:rPr>
      </w:pPr>
      <w:r>
        <w:rPr>
          <w:rFonts w:ascii="Arial" w:cs="Arial" w:eastAsia="Arial" w:hAnsi="Arial"/>
          <w:sz w:val="21"/>
          <w:szCs w:val="21"/>
          <w:b w:val="1"/>
          <w:bCs w:val="1"/>
          <w:color w:val="auto"/>
        </w:rPr>
        <w:t>Disability</w:t>
      </w:r>
      <w:r>
        <w:rPr>
          <w:rFonts w:ascii="Arial" w:cs="Arial" w:eastAsia="Arial" w:hAnsi="Arial"/>
          <w:sz w:val="21"/>
          <w:szCs w:val="21"/>
          <w:color w:val="auto"/>
        </w:rPr>
        <w:t>.</w:t>
      </w:r>
    </w:p>
    <w:p>
      <w:pPr>
        <w:spacing w:after="0" w:line="237" w:lineRule="exact"/>
        <w:rPr>
          <w:sz w:val="20"/>
          <w:szCs w:val="20"/>
          <w:color w:val="auto"/>
        </w:rPr>
      </w:pPr>
    </w:p>
    <w:p>
      <w:pPr>
        <w:jc w:val="both"/>
        <w:ind w:left="200" w:right="219" w:firstLine="9"/>
        <w:spacing w:after="0" w:line="260" w:lineRule="auto"/>
        <w:tabs>
          <w:tab w:leader="none" w:pos="848"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Company may terminate Executive’s employment hereunder, upon notice to Executive, in the event that Executive becomes disabled during his employment hereunder through any illness, injury, accident or condition of either a physical or psychological nature and, as a result, is unable to perform substantially all of his duties and responsibilities hereunder for ninety (90) days during any period of three hundred and sixty-five (365) consecutive calendar days. In the event of such termination, the Company shall have no further obligation to Executive, other than for payment of Final Compensation.</w:t>
      </w:r>
    </w:p>
    <w:p>
      <w:pPr>
        <w:spacing w:after="0" w:line="126" w:lineRule="exact"/>
        <w:rPr>
          <w:rFonts w:ascii="Arial" w:cs="Arial" w:eastAsia="Arial" w:hAnsi="Arial"/>
          <w:sz w:val="21"/>
          <w:szCs w:val="21"/>
          <w:color w:val="auto"/>
        </w:rPr>
      </w:pPr>
    </w:p>
    <w:p>
      <w:pPr>
        <w:jc w:val="both"/>
        <w:ind w:left="200" w:right="219" w:firstLine="9"/>
        <w:spacing w:after="0" w:line="263" w:lineRule="auto"/>
        <w:tabs>
          <w:tab w:leader="none" w:pos="848"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Board may designate another employee to act in Executive’s place during any period of Executive’s disability. Notwithstanding any such designation, Executive shall continue to receive the Base Salary in accordance with Section 4(a) and benefits in accordance with Section 4(d), to the extent permitted by the then-current terms of the applicable benefit plans until the termination of his employment.</w:t>
      </w:r>
    </w:p>
    <w:p>
      <w:pPr>
        <w:spacing w:after="0" w:line="202" w:lineRule="exact"/>
        <w:rPr>
          <w:rFonts w:ascii="Arial" w:cs="Arial" w:eastAsia="Arial" w:hAnsi="Arial"/>
          <w:sz w:val="21"/>
          <w:szCs w:val="21"/>
          <w:color w:val="auto"/>
        </w:rPr>
      </w:pPr>
    </w:p>
    <w:p>
      <w:pPr>
        <w:jc w:val="both"/>
        <w:ind w:left="200" w:right="219" w:firstLine="9"/>
        <w:spacing w:after="0" w:line="272" w:lineRule="auto"/>
        <w:tabs>
          <w:tab w:leader="none" w:pos="8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Should the Company implement a disability income plan for all employees, while receiving disability income payments under the Company’s disability income plan Executive shall not be entitled to receive any Base Salary under Section 4(a) hereof but shall continue to participate in Company benefit plans in accordance with Section 4(d) and the terms of such plans, until the termination of his employment. In the event the disability income payments under the Company’s disability income plan during the term hereof are less than Executive’s Base Salary, the Company shall pay to Executive, in accordance with Company’s standard payroll practices, an amount equal to Executive’s Base Salary less the disability income payments.</w:t>
      </w:r>
    </w:p>
    <w:p>
      <w:pPr>
        <w:spacing w:after="0" w:line="128" w:lineRule="exact"/>
        <w:rPr>
          <w:rFonts w:ascii="Arial" w:cs="Arial" w:eastAsia="Arial" w:hAnsi="Arial"/>
          <w:sz w:val="20"/>
          <w:szCs w:val="20"/>
          <w:color w:val="auto"/>
        </w:rPr>
      </w:pPr>
    </w:p>
    <w:p>
      <w:pPr>
        <w:jc w:val="both"/>
        <w:ind w:left="200" w:right="219" w:firstLine="9"/>
        <w:spacing w:after="0" w:line="291" w:lineRule="auto"/>
        <w:tabs>
          <w:tab w:leader="none" w:pos="848" w:val="left"/>
        </w:tabs>
        <w:numPr>
          <w:ilvl w:val="0"/>
          <w:numId w:val="18"/>
        </w:numPr>
        <w:rPr>
          <w:rFonts w:ascii="Arial" w:cs="Arial" w:eastAsia="Arial" w:hAnsi="Arial"/>
          <w:sz w:val="19"/>
          <w:szCs w:val="19"/>
          <w:color w:val="auto"/>
        </w:rPr>
      </w:pPr>
      <w:r>
        <w:rPr>
          <w:rFonts w:ascii="Arial" w:cs="Arial" w:eastAsia="Arial" w:hAnsi="Arial"/>
          <w:sz w:val="19"/>
          <w:szCs w:val="19"/>
          <w:color w:val="auto"/>
        </w:rPr>
        <w:t>If any question shall arise as to whether during any period Executive is disabled through any illness, injury, accident or condition of either a physical or psychological nature so as to be unable to perform substantially all of his duties and responsibilities hereunder, Executive may, and at the request of the Company shall, submit to a medical examination by a physician selected by the Company to whom Executive or his duly appointed guardian, if any, has no reasonable objection to determine whether Executive is so disabled and such determination shall for the purposes of this Agreement be conclusive of the issue. If such question shall arise and Executive shall fail to submit to such medical examination, the Company’s determination of the issue shall be binding on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54521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ectPr>
          <w:pgSz w:w="11900" w:h="16838" w:orient="portrait"/>
          <w:cols w:equalWidth="0" w:num="1">
            <w:col w:w="9019"/>
          </w:cols>
          <w:pgMar w:left="1440" w:top="1133"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3 | </w:t>
      </w:r>
      <w:r>
        <w:rPr>
          <w:rFonts w:ascii="Arial" w:cs="Arial" w:eastAsia="Arial" w:hAnsi="Arial"/>
          <w:sz w:val="16"/>
          <w:szCs w:val="16"/>
          <w:b w:val="1"/>
          <w:bCs w:val="1"/>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532130</wp:posOffset>
            </wp:positionV>
            <wp:extent cx="54521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3" w:right="1440" w:bottom="1440" w:gutter="0" w:footer="0" w:header="0"/>
          <w:type w:val="continuous"/>
        </w:sectPr>
      </w:pPr>
    </w:p>
    <w:bookmarkStart w:id="45" w:name="page46"/>
    <w:bookmarkEnd w:id="45"/>
    <w:p>
      <w:pPr>
        <w:jc w:val="both"/>
        <w:ind w:left="200" w:right="219" w:firstLine="9"/>
        <w:spacing w:after="0" w:line="262" w:lineRule="auto"/>
        <w:tabs>
          <w:tab w:leader="none" w:pos="481" w:val="left"/>
        </w:tabs>
        <w:numPr>
          <w:ilvl w:val="0"/>
          <w:numId w:val="19"/>
        </w:numPr>
        <w:rPr>
          <w:rFonts w:ascii="Arial" w:cs="Arial" w:eastAsia="Arial" w:hAnsi="Arial"/>
          <w:sz w:val="21"/>
          <w:szCs w:val="21"/>
          <w:color w:val="auto"/>
        </w:rPr>
      </w:pPr>
      <w:r>
        <w:rPr>
          <w:rFonts w:ascii="Arial" w:cs="Arial" w:eastAsia="Arial" w:hAnsi="Arial"/>
          <w:sz w:val="21"/>
          <w:szCs w:val="21"/>
          <w:b w:val="1"/>
          <w:bCs w:val="1"/>
          <w:color w:val="auto"/>
        </w:rPr>
        <w:t xml:space="preserve">By the Company for Cause. </w:t>
      </w:r>
      <w:r>
        <w:rPr>
          <w:rFonts w:ascii="Arial" w:cs="Arial" w:eastAsia="Arial" w:hAnsi="Arial"/>
          <w:sz w:val="21"/>
          <w:szCs w:val="21"/>
          <w:color w:val="auto"/>
        </w:rPr>
        <w:t>The Company may terminate Executive’s employment hereunder for</w:t>
      </w:r>
      <w:r>
        <w:rPr>
          <w:rFonts w:ascii="Arial" w:cs="Arial" w:eastAsia="Arial" w:hAnsi="Arial"/>
          <w:sz w:val="21"/>
          <w:szCs w:val="21"/>
          <w:b w:val="1"/>
          <w:bCs w:val="1"/>
          <w:color w:val="auto"/>
        </w:rPr>
        <w:t xml:space="preserve"> </w:t>
      </w:r>
      <w:r>
        <w:rPr>
          <w:rFonts w:ascii="Arial" w:cs="Arial" w:eastAsia="Arial" w:hAnsi="Arial"/>
          <w:sz w:val="21"/>
          <w:szCs w:val="21"/>
          <w:color w:val="auto"/>
        </w:rPr>
        <w:t>Cause at any time upon notice to Executive setting forth in reasonable detail the nature of such Cause. The following shall constitute Cause for termination:</w:t>
      </w:r>
    </w:p>
    <w:p>
      <w:pPr>
        <w:spacing w:after="0" w:line="201" w:lineRule="exact"/>
        <w:rPr>
          <w:sz w:val="20"/>
          <w:szCs w:val="20"/>
          <w:color w:val="auto"/>
        </w:rPr>
      </w:pPr>
    </w:p>
    <w:p>
      <w:pPr>
        <w:jc w:val="both"/>
        <w:ind w:left="200" w:right="219" w:firstLine="9"/>
        <w:spacing w:after="0" w:line="253" w:lineRule="auto"/>
        <w:tabs>
          <w:tab w:leader="none" w:pos="580" w:val="left"/>
        </w:tabs>
        <w:numPr>
          <w:ilvl w:val="0"/>
          <w:numId w:val="20"/>
        </w:numPr>
        <w:rPr>
          <w:rFonts w:ascii="Arial" w:cs="Arial" w:eastAsia="Arial" w:hAnsi="Arial"/>
          <w:sz w:val="21"/>
          <w:szCs w:val="21"/>
          <w:color w:val="auto"/>
        </w:rPr>
      </w:pPr>
      <w:r>
        <w:rPr>
          <w:rFonts w:ascii="Arial" w:cs="Arial" w:eastAsia="Arial" w:hAnsi="Arial"/>
          <w:sz w:val="21"/>
          <w:szCs w:val="21"/>
          <w:color w:val="auto"/>
        </w:rPr>
        <w:t>Executive’s failure to perform (other than by reason of disability), or gross negligence in the performance of, his material duties and responsibilities to the Company. Unauthorized absence of employee for a period of five consecutive business days shall be considered failure to perform as defined above;</w:t>
      </w:r>
    </w:p>
    <w:p>
      <w:pPr>
        <w:spacing w:after="0" w:line="223" w:lineRule="exact"/>
        <w:rPr>
          <w:rFonts w:ascii="Arial" w:cs="Arial" w:eastAsia="Arial" w:hAnsi="Arial"/>
          <w:sz w:val="21"/>
          <w:szCs w:val="21"/>
          <w:color w:val="auto"/>
        </w:rPr>
      </w:pPr>
    </w:p>
    <w:p>
      <w:pPr>
        <w:ind w:left="560" w:hanging="351"/>
        <w:spacing w:after="0"/>
        <w:tabs>
          <w:tab w:leader="none" w:pos="5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Material breach of Section 7 or 8 hereof or breach of any fiduciary duty owed to the Company;</w:t>
      </w:r>
    </w:p>
    <w:p>
      <w:pPr>
        <w:spacing w:after="0" w:line="294" w:lineRule="exact"/>
        <w:rPr>
          <w:rFonts w:ascii="Arial" w:cs="Arial" w:eastAsia="Arial" w:hAnsi="Arial"/>
          <w:sz w:val="19"/>
          <w:szCs w:val="19"/>
          <w:color w:val="auto"/>
        </w:rPr>
      </w:pPr>
    </w:p>
    <w:p>
      <w:pPr>
        <w:ind w:left="200" w:right="219" w:firstLine="9"/>
        <w:spacing w:after="0" w:line="264" w:lineRule="auto"/>
        <w:tabs>
          <w:tab w:leader="none" w:pos="606" w:val="left"/>
        </w:tabs>
        <w:numPr>
          <w:ilvl w:val="0"/>
          <w:numId w:val="20"/>
        </w:numPr>
        <w:rPr>
          <w:rFonts w:ascii="Arial" w:cs="Arial" w:eastAsia="Arial" w:hAnsi="Arial"/>
          <w:sz w:val="21"/>
          <w:szCs w:val="21"/>
          <w:color w:val="auto"/>
        </w:rPr>
      </w:pPr>
      <w:r>
        <w:rPr>
          <w:rFonts w:ascii="Arial" w:cs="Arial" w:eastAsia="Arial" w:hAnsi="Arial"/>
          <w:sz w:val="21"/>
          <w:szCs w:val="21"/>
          <w:color w:val="auto"/>
        </w:rPr>
        <w:t>Fraud or embezzlement or other dishonesty which is material (monetarily or otherwise) with respect to the Company;</w:t>
      </w:r>
    </w:p>
    <w:p>
      <w:pPr>
        <w:spacing w:after="0" w:line="197" w:lineRule="exact"/>
        <w:rPr>
          <w:rFonts w:ascii="Arial" w:cs="Arial" w:eastAsia="Arial" w:hAnsi="Arial"/>
          <w:sz w:val="21"/>
          <w:szCs w:val="21"/>
          <w:color w:val="auto"/>
        </w:rPr>
      </w:pPr>
    </w:p>
    <w:p>
      <w:pPr>
        <w:ind w:left="200" w:right="219" w:firstLine="9"/>
        <w:spacing w:after="0" w:line="277" w:lineRule="auto"/>
        <w:tabs>
          <w:tab w:leader="none" w:pos="590" w:val="left"/>
        </w:tabs>
        <w:numPr>
          <w:ilvl w:val="0"/>
          <w:numId w:val="20"/>
        </w:numPr>
        <w:rPr>
          <w:rFonts w:ascii="Arial" w:cs="Arial" w:eastAsia="Arial" w:hAnsi="Arial"/>
          <w:sz w:val="21"/>
          <w:szCs w:val="21"/>
          <w:color w:val="auto"/>
        </w:rPr>
      </w:pPr>
      <w:r>
        <w:rPr>
          <w:rFonts w:ascii="Arial" w:cs="Arial" w:eastAsia="Arial" w:hAnsi="Arial"/>
          <w:sz w:val="21"/>
          <w:szCs w:val="21"/>
          <w:color w:val="auto"/>
        </w:rPr>
        <w:t>Indictment, conviction or plea of nolo contendere to a felony or other crime involving moral turpitude that is material to the Company;</w:t>
      </w:r>
    </w:p>
    <w:p>
      <w:pPr>
        <w:spacing w:after="0" w:line="185" w:lineRule="exact"/>
        <w:rPr>
          <w:rFonts w:ascii="Arial" w:cs="Arial" w:eastAsia="Arial" w:hAnsi="Arial"/>
          <w:sz w:val="21"/>
          <w:szCs w:val="21"/>
          <w:color w:val="auto"/>
        </w:rPr>
      </w:pPr>
    </w:p>
    <w:p>
      <w:pPr>
        <w:ind w:left="560" w:hanging="351"/>
        <w:spacing w:after="0"/>
        <w:tabs>
          <w:tab w:leader="none" w:pos="560" w:val="left"/>
        </w:tabs>
        <w:numPr>
          <w:ilvl w:val="0"/>
          <w:numId w:val="20"/>
        </w:numPr>
        <w:rPr>
          <w:rFonts w:ascii="Arial" w:cs="Arial" w:eastAsia="Arial" w:hAnsi="Arial"/>
          <w:sz w:val="21"/>
          <w:szCs w:val="21"/>
          <w:color w:val="auto"/>
        </w:rPr>
      </w:pPr>
      <w:r>
        <w:rPr>
          <w:rFonts w:ascii="Arial" w:cs="Arial" w:eastAsia="Arial" w:hAnsi="Arial"/>
          <w:sz w:val="21"/>
          <w:szCs w:val="21"/>
          <w:color w:val="auto"/>
        </w:rPr>
        <w:t>Executive’s material breach of this Agreement or of any Company policy; or</w:t>
      </w:r>
    </w:p>
    <w:p>
      <w:pPr>
        <w:spacing w:after="0" w:line="258" w:lineRule="exact"/>
        <w:rPr>
          <w:rFonts w:ascii="Arial" w:cs="Arial" w:eastAsia="Arial" w:hAnsi="Arial"/>
          <w:sz w:val="21"/>
          <w:szCs w:val="21"/>
          <w:color w:val="auto"/>
        </w:rPr>
      </w:pPr>
    </w:p>
    <w:p>
      <w:pPr>
        <w:ind w:left="200" w:right="219" w:firstLine="9"/>
        <w:spacing w:after="0" w:line="277" w:lineRule="auto"/>
        <w:tabs>
          <w:tab w:leader="none" w:pos="599" w:val="left"/>
        </w:tabs>
        <w:numPr>
          <w:ilvl w:val="0"/>
          <w:numId w:val="20"/>
        </w:numPr>
        <w:rPr>
          <w:rFonts w:ascii="Arial" w:cs="Arial" w:eastAsia="Arial" w:hAnsi="Arial"/>
          <w:sz w:val="21"/>
          <w:szCs w:val="21"/>
          <w:color w:val="auto"/>
        </w:rPr>
      </w:pPr>
      <w:r>
        <w:rPr>
          <w:rFonts w:ascii="Arial" w:cs="Arial" w:eastAsia="Arial" w:hAnsi="Arial"/>
          <w:sz w:val="21"/>
          <w:szCs w:val="21"/>
          <w:color w:val="auto"/>
        </w:rPr>
        <w:t>Disciplinary proceedings or other events that impair Executive’s ability to function as Chief Executive Officer of the Company.</w:t>
      </w:r>
    </w:p>
    <w:p>
      <w:pPr>
        <w:spacing w:after="0" w:line="185" w:lineRule="exact"/>
        <w:rPr>
          <w:sz w:val="20"/>
          <w:szCs w:val="20"/>
          <w:color w:val="auto"/>
        </w:rPr>
      </w:pPr>
    </w:p>
    <w:p>
      <w:pPr>
        <w:ind w:left="200" w:right="219"/>
        <w:spacing w:after="0" w:line="264" w:lineRule="auto"/>
        <w:rPr>
          <w:sz w:val="20"/>
          <w:szCs w:val="20"/>
          <w:color w:val="auto"/>
        </w:rPr>
      </w:pPr>
      <w:r>
        <w:rPr>
          <w:rFonts w:ascii="Arial" w:cs="Arial" w:eastAsia="Arial" w:hAnsi="Arial"/>
          <w:sz w:val="21"/>
          <w:szCs w:val="21"/>
          <w:color w:val="auto"/>
        </w:rPr>
        <w:t>Upon termination of Executive’s employment hereunder for Cause, the Company shall have no further obligation to Executive, other than for Final Compensation.</w:t>
      </w:r>
    </w:p>
    <w:p>
      <w:pPr>
        <w:spacing w:after="0" w:line="205" w:lineRule="exact"/>
        <w:rPr>
          <w:sz w:val="20"/>
          <w:szCs w:val="20"/>
          <w:color w:val="auto"/>
        </w:rPr>
      </w:pPr>
    </w:p>
    <w:p>
      <w:pPr>
        <w:jc w:val="both"/>
        <w:ind w:left="200" w:right="219" w:firstLine="9"/>
        <w:spacing w:after="0" w:line="291" w:lineRule="auto"/>
        <w:tabs>
          <w:tab w:leader="none" w:pos="499"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By the Company Other than Cause or Upon a Change of Control. </w:t>
      </w:r>
      <w:r>
        <w:rPr>
          <w:rFonts w:ascii="Arial" w:cs="Arial" w:eastAsia="Arial" w:hAnsi="Arial"/>
          <w:sz w:val="18"/>
          <w:szCs w:val="18"/>
          <w:color w:val="auto"/>
        </w:rPr>
        <w:t>The Company may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employment hereunder other than for Cause (or death or disability) at any time upon ninety (90) days’ notice to Executive (or payment in lieu of such notice) or otherwise upon a Change of Control. Upon such termination, the Company shall provide Executive severance pay equal to the sum of the Base Salary at the rate in effect on the date of termination from the date of termination through the one-year anniversary thereof. The Company shall also pay Executive all accrued compensation and prorated Target Bonus through the date of termination. Any obligation of the Company to Executive hereunder is conditioned, however, on Executive signing a timely and effective release of claims in a form provided by the Company (“Release”) and such Release must become effective and irrevocable no later than 55 days following such termination. (the “Release Condition”) The first installment of the severance pay shall be due and payable at the Company’s next regular payday which is at least five (5) business days following the date the Release becomes effective and irrevocable, but shall be retroactive to the next business day following the date of termination.</w:t>
      </w:r>
    </w:p>
    <w:p>
      <w:pPr>
        <w:spacing w:after="0" w:line="193" w:lineRule="exact"/>
        <w:rPr>
          <w:rFonts w:ascii="Arial" w:cs="Arial" w:eastAsia="Arial" w:hAnsi="Arial"/>
          <w:sz w:val="18"/>
          <w:szCs w:val="18"/>
          <w:color w:val="auto"/>
        </w:rPr>
      </w:pPr>
    </w:p>
    <w:p>
      <w:pPr>
        <w:jc w:val="both"/>
        <w:ind w:left="200" w:right="219" w:firstLine="9"/>
        <w:spacing w:after="0" w:line="284" w:lineRule="auto"/>
        <w:tabs>
          <w:tab w:leader="none" w:pos="500" w:val="left"/>
        </w:tabs>
        <w:numPr>
          <w:ilvl w:val="0"/>
          <w:numId w:val="21"/>
        </w:numPr>
        <w:rPr>
          <w:rFonts w:ascii="Arial" w:cs="Arial" w:eastAsia="Arial" w:hAnsi="Arial"/>
          <w:sz w:val="19"/>
          <w:szCs w:val="19"/>
          <w:color w:val="auto"/>
        </w:rPr>
      </w:pPr>
      <w:r>
        <w:rPr>
          <w:rFonts w:ascii="Arial" w:cs="Arial" w:eastAsia="Arial" w:hAnsi="Arial"/>
          <w:sz w:val="19"/>
          <w:szCs w:val="19"/>
          <w:b w:val="1"/>
          <w:bCs w:val="1"/>
          <w:color w:val="auto"/>
        </w:rPr>
        <w:t>By Executive other than for Good Reason</w:t>
      </w:r>
      <w:r>
        <w:rPr>
          <w:rFonts w:ascii="Arial" w:cs="Arial" w:eastAsia="Arial" w:hAnsi="Arial"/>
          <w:sz w:val="19"/>
          <w:szCs w:val="19"/>
          <w:color w:val="auto"/>
        </w:rPr>
        <w:t>. Executive may terminate his employment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at any time upon ninety (90) days’ notice to the Company; provided, however, that the Company may elect to waive all or any portion of such notice, in which event the Company will pay Executive the Base Salary for any portion of the first ninety (90) days of such notice waived. The Company shall have no further obligation to Executive, other than for any Final Compensation due to him.</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480" w:hanging="271"/>
        <w:spacing w:after="0"/>
        <w:tabs>
          <w:tab w:leader="none" w:pos="480" w:val="left"/>
        </w:tabs>
        <w:numPr>
          <w:ilvl w:val="0"/>
          <w:numId w:val="21"/>
        </w:numPr>
        <w:rPr>
          <w:rFonts w:ascii="Arial" w:cs="Arial" w:eastAsia="Arial" w:hAnsi="Arial"/>
          <w:sz w:val="19"/>
          <w:szCs w:val="19"/>
          <w:color w:val="auto"/>
        </w:rPr>
      </w:pPr>
      <w:r>
        <w:rPr>
          <w:rFonts w:ascii="Arial" w:cs="Arial" w:eastAsia="Arial" w:hAnsi="Arial"/>
          <w:sz w:val="19"/>
          <w:szCs w:val="19"/>
          <w:b w:val="1"/>
          <w:bCs w:val="1"/>
          <w:color w:val="auto"/>
        </w:rPr>
        <w:t xml:space="preserve">By Executive for Good Reason. </w:t>
      </w:r>
      <w:r>
        <w:rPr>
          <w:rFonts w:ascii="Arial" w:cs="Arial" w:eastAsia="Arial" w:hAnsi="Arial"/>
          <w:sz w:val="19"/>
          <w:szCs w:val="19"/>
          <w:color w:val="auto"/>
        </w:rPr>
        <w:t>Executive may terminate his employment hereunder for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54521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4 | </w:t>
      </w:r>
      <w:r>
        <w:rPr>
          <w:rFonts w:ascii="Arial" w:cs="Arial" w:eastAsia="Arial" w:hAnsi="Arial"/>
          <w:sz w:val="20"/>
          <w:szCs w:val="20"/>
          <w:b w:val="1"/>
          <w:bCs w:val="1"/>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0" w:right="1440" w:bottom="1440" w:gutter="0" w:footer="0" w:header="0"/>
        </w:sectPr>
      </w:pPr>
    </w:p>
    <w:bookmarkStart w:id="46" w:name="page47"/>
    <w:bookmarkEnd w:id="46"/>
    <w:p>
      <w:pPr>
        <w:jc w:val="both"/>
        <w:ind w:left="200" w:right="219"/>
        <w:spacing w:after="0" w:line="273" w:lineRule="auto"/>
        <w:rPr>
          <w:sz w:val="20"/>
          <w:szCs w:val="20"/>
          <w:color w:val="auto"/>
        </w:rPr>
      </w:pPr>
      <w:r>
        <w:rPr>
          <w:rFonts w:ascii="Arial" w:cs="Arial" w:eastAsia="Arial" w:hAnsi="Arial"/>
          <w:sz w:val="19"/>
          <w:szCs w:val="19"/>
          <w:color w:val="auto"/>
        </w:rPr>
        <w:t>Reason which for the purposes of this Agreement shall mean the occurrence of any of the following without Executive’s consent: (i) material diminution of Executive’s compensation or benefits; (ii) material diminution of Executive’s title, duties, authority or responsibilities; (iii) the Company’s material breach of any term of this Agreement; (iv) the failure of the Board to nominate Executive to fill one of the vacant seats on the Board in accordance with Clause 3(d) above; or (v) the required relocation of Executive’s place of employment to a location that is more than 25 miles from his home. In order for Executive to terminate his employment for Good Reason, Executive must give the Company within sixty (60) days after the initial occurrence of the events which may constitute Good Reason, at least thirty (30) days’ notice of such purported Good Reason and an opportunity to cure the Good Reason within such period. Should such termination occur, the Company shall provide Executive severance pay equal to the sum of the Base Salary at the rate in effect on the date of termination from the date of termination through the one-year anniversary thereof with such severance payable in continuing installments over such one year period in accordance with the Company’s customary payroll practices. The Company shall also pay Executive all accrued compensation and prorated Target Bonus through the date of termination. Any obligation of the Company to Executive hereunder is conditioned however, on Executive timely satisfying the Release Condition. The first installment of the severance pay shall be due and payable at the Company’s next regular payday which is at least five (5) business days following the date the Release becomes effective and irrevocable, but shall be retroactive to the next business day following the date of termination.</w:t>
      </w:r>
    </w:p>
    <w:p>
      <w:pPr>
        <w:spacing w:after="0" w:line="199" w:lineRule="exact"/>
        <w:rPr>
          <w:sz w:val="20"/>
          <w:szCs w:val="20"/>
          <w:color w:val="auto"/>
        </w:rPr>
      </w:pPr>
    </w:p>
    <w:p>
      <w:pPr>
        <w:ind w:left="200" w:right="239" w:firstLine="9"/>
        <w:spacing w:after="0" w:line="270" w:lineRule="auto"/>
        <w:tabs>
          <w:tab w:leader="none" w:pos="412" w:val="left"/>
        </w:tabs>
        <w:numPr>
          <w:ilvl w:val="0"/>
          <w:numId w:val="22"/>
        </w:numPr>
        <w:rPr>
          <w:rFonts w:ascii="Arial" w:cs="Arial" w:eastAsia="Arial" w:hAnsi="Arial"/>
          <w:sz w:val="21"/>
          <w:szCs w:val="21"/>
          <w:color w:val="auto"/>
        </w:rPr>
      </w:pPr>
      <w:r>
        <w:rPr>
          <w:rFonts w:ascii="Arial" w:cs="Arial" w:eastAsia="Arial" w:hAnsi="Arial"/>
          <w:sz w:val="21"/>
          <w:szCs w:val="21"/>
          <w:b w:val="1"/>
          <w:bCs w:val="1"/>
          <w:color w:val="auto"/>
        </w:rPr>
        <w:t>Effect of Termination</w:t>
      </w:r>
      <w:r>
        <w:rPr>
          <w:rFonts w:ascii="Arial" w:cs="Arial" w:eastAsia="Arial" w:hAnsi="Arial"/>
          <w:sz w:val="21"/>
          <w:szCs w:val="21"/>
          <w:color w:val="auto"/>
        </w:rPr>
        <w:t>. The provisions of this Section 6 shall apply to any termination, whether due</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expiration of the term hereof, pursuant to Section 5 or otherwise.</w:t>
      </w:r>
    </w:p>
    <w:p>
      <w:pPr>
        <w:spacing w:after="0" w:line="124" w:lineRule="exact"/>
        <w:rPr>
          <w:sz w:val="20"/>
          <w:szCs w:val="20"/>
          <w:color w:val="auto"/>
        </w:rPr>
      </w:pPr>
    </w:p>
    <w:p>
      <w:pPr>
        <w:jc w:val="both"/>
        <w:ind w:left="200" w:right="219" w:firstLine="9"/>
        <w:spacing w:after="0" w:line="259" w:lineRule="auto"/>
        <w:tabs>
          <w:tab w:leader="none" w:pos="527" w:val="left"/>
        </w:tabs>
        <w:numPr>
          <w:ilvl w:val="0"/>
          <w:numId w:val="23"/>
        </w:numPr>
        <w:rPr>
          <w:rFonts w:ascii="Arial" w:cs="Arial" w:eastAsia="Arial" w:hAnsi="Arial"/>
          <w:sz w:val="21"/>
          <w:szCs w:val="21"/>
          <w:color w:val="auto"/>
        </w:rPr>
      </w:pPr>
      <w:r>
        <w:rPr>
          <w:rFonts w:ascii="Arial" w:cs="Arial" w:eastAsia="Arial" w:hAnsi="Arial"/>
          <w:sz w:val="21"/>
          <w:szCs w:val="21"/>
          <w:color w:val="auto"/>
        </w:rPr>
        <w:t>Payment by the Company of any amounts that may be due Executive in each case under the applicable termination provision of Section 5 shall constitute the entire obligation of the Company to Executive.</w:t>
      </w:r>
    </w:p>
    <w:p>
      <w:pPr>
        <w:spacing w:after="0" w:line="136" w:lineRule="exact"/>
        <w:rPr>
          <w:rFonts w:ascii="Arial" w:cs="Arial" w:eastAsia="Arial" w:hAnsi="Arial"/>
          <w:sz w:val="21"/>
          <w:szCs w:val="21"/>
          <w:color w:val="auto"/>
        </w:rPr>
      </w:pPr>
    </w:p>
    <w:p>
      <w:pPr>
        <w:jc w:val="both"/>
        <w:ind w:left="200" w:right="219" w:firstLine="9"/>
        <w:spacing w:after="0" w:line="266" w:lineRule="auto"/>
        <w:tabs>
          <w:tab w:leader="none" w:pos="499" w:val="left"/>
        </w:tabs>
        <w:numPr>
          <w:ilvl w:val="0"/>
          <w:numId w:val="23"/>
        </w:numPr>
        <w:rPr>
          <w:rFonts w:ascii="Arial" w:cs="Arial" w:eastAsia="Arial" w:hAnsi="Arial"/>
          <w:sz w:val="20"/>
          <w:szCs w:val="20"/>
          <w:color w:val="auto"/>
        </w:rPr>
      </w:pPr>
      <w:r>
        <w:rPr>
          <w:rFonts w:ascii="Arial" w:cs="Arial" w:eastAsia="Arial" w:hAnsi="Arial"/>
          <w:sz w:val="20"/>
          <w:szCs w:val="20"/>
          <w:color w:val="auto"/>
        </w:rPr>
        <w:t>Except for any right to continue participation in any employer-sponsored health plan, at Executive’s cost under COBRA or other applicable law, Executive’s participation in other Company benefits shall terminate pursuant to the terms of the applicable benefit plans based on the date of termination of Executive’s employment, without regard to any continuation of Base Salary or other payment to Executive following such date of termination.</w:t>
      </w:r>
    </w:p>
    <w:p>
      <w:pPr>
        <w:spacing w:after="0" w:line="116" w:lineRule="exact"/>
        <w:rPr>
          <w:rFonts w:ascii="Arial" w:cs="Arial" w:eastAsia="Arial" w:hAnsi="Arial"/>
          <w:sz w:val="20"/>
          <w:szCs w:val="20"/>
          <w:color w:val="auto"/>
        </w:rPr>
      </w:pPr>
    </w:p>
    <w:p>
      <w:pPr>
        <w:jc w:val="both"/>
        <w:ind w:left="200" w:right="219" w:firstLine="9"/>
        <w:spacing w:after="0" w:line="249" w:lineRule="auto"/>
        <w:tabs>
          <w:tab w:leader="none" w:pos="487" w:val="left"/>
        </w:tabs>
        <w:numPr>
          <w:ilvl w:val="0"/>
          <w:numId w:val="23"/>
        </w:numPr>
        <w:rPr>
          <w:rFonts w:ascii="Arial" w:cs="Arial" w:eastAsia="Arial" w:hAnsi="Arial"/>
          <w:sz w:val="21"/>
          <w:szCs w:val="21"/>
          <w:color w:val="auto"/>
        </w:rPr>
      </w:pPr>
      <w:r>
        <w:rPr>
          <w:rFonts w:ascii="Arial" w:cs="Arial" w:eastAsia="Arial" w:hAnsi="Arial"/>
          <w:sz w:val="21"/>
          <w:szCs w:val="21"/>
          <w:color w:val="auto"/>
        </w:rPr>
        <w:t>Provisions of this Agreement shall survive any termination if so provided herein or if necessary or desirable to accomplish the purposes of other surviving provisions, including without limitation the obligations of Executive under Sections 7, 8 and 9 hereof. The obligations of the Company under Sections 5(d), 5(e) and 5(f) hereof are expressly conditioned upon Executive’s continued full performance of obligations under Sections 7, 8 and 9 hereof. Executive recognizes that, except as expressly provided in Section 5(d), 5(e) or 5(f), no compensation is earned after termination of employment.</w:t>
      </w:r>
    </w:p>
    <w:p>
      <w:pPr>
        <w:spacing w:after="0" w:line="227" w:lineRule="exact"/>
        <w:rPr>
          <w:rFonts w:ascii="Arial" w:cs="Arial" w:eastAsia="Arial" w:hAnsi="Arial"/>
          <w:sz w:val="21"/>
          <w:szCs w:val="21"/>
          <w:color w:val="auto"/>
        </w:rPr>
      </w:pPr>
    </w:p>
    <w:p>
      <w:pPr>
        <w:jc w:val="both"/>
        <w:ind w:left="200" w:right="219" w:firstLine="9"/>
        <w:spacing w:after="0" w:line="298" w:lineRule="auto"/>
        <w:tabs>
          <w:tab w:leader="none" w:pos="499" w:val="left"/>
        </w:tabs>
        <w:numPr>
          <w:ilvl w:val="0"/>
          <w:numId w:val="23"/>
        </w:numPr>
        <w:rPr>
          <w:rFonts w:ascii="Arial" w:cs="Arial" w:eastAsia="Arial" w:hAnsi="Arial"/>
          <w:sz w:val="18"/>
          <w:szCs w:val="18"/>
          <w:color w:val="auto"/>
        </w:rPr>
      </w:pPr>
      <w:r>
        <w:rPr>
          <w:rFonts w:ascii="Arial" w:cs="Arial" w:eastAsia="Arial" w:hAnsi="Arial"/>
          <w:sz w:val="17"/>
          <w:szCs w:val="17"/>
          <w:color w:val="auto"/>
        </w:rPr>
        <w:t>If Executive’s employment is terminated for any reason or no reason, then Executive shall be deemed to, and shall, resign (i) from any board or other governing body to which he has been appointed or nominated by or on behalf of Company or its affiliates and (ii) from any position with Company or any of its affiliates including, but not limited to, as an officer of any such affiliate and Executive will execute any documents reasonably required to effectuate the foregoing and failure to do so shall result in a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551180</wp:posOffset>
            </wp:positionV>
            <wp:extent cx="54521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5 | </w:t>
      </w:r>
      <w:r>
        <w:rPr>
          <w:rFonts w:ascii="Arial" w:cs="Arial" w:eastAsia="Arial" w:hAnsi="Arial"/>
          <w:sz w:val="20"/>
          <w:szCs w:val="20"/>
          <w:b w:val="1"/>
          <w:bCs w:val="1"/>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47" w:name="page48"/>
    <w:bookmarkEnd w:id="47"/>
    <w:p>
      <w:pPr>
        <w:ind w:left="420" w:hanging="211"/>
        <w:spacing w:after="0"/>
        <w:tabs>
          <w:tab w:leader="none" w:pos="420" w:val="left"/>
        </w:tabs>
        <w:numPr>
          <w:ilvl w:val="0"/>
          <w:numId w:val="24"/>
        </w:numPr>
        <w:rPr>
          <w:rFonts w:ascii="Arial" w:cs="Arial" w:eastAsia="Arial" w:hAnsi="Arial"/>
          <w:sz w:val="21"/>
          <w:szCs w:val="21"/>
          <w:color w:val="auto"/>
        </w:rPr>
      </w:pPr>
      <w:r>
        <w:rPr>
          <w:rFonts w:ascii="Arial" w:cs="Arial" w:eastAsia="Arial" w:hAnsi="Arial"/>
          <w:sz w:val="21"/>
          <w:szCs w:val="21"/>
          <w:b w:val="1"/>
          <w:bCs w:val="1"/>
          <w:color w:val="auto"/>
        </w:rPr>
        <w:t>Confidential Information</w:t>
      </w:r>
      <w:r>
        <w:rPr>
          <w:rFonts w:ascii="Arial" w:cs="Arial" w:eastAsia="Arial" w:hAnsi="Arial"/>
          <w:sz w:val="21"/>
          <w:szCs w:val="21"/>
          <w:color w:val="auto"/>
        </w:rPr>
        <w:t>.</w:t>
      </w:r>
    </w:p>
    <w:p>
      <w:pPr>
        <w:spacing w:after="0" w:line="183" w:lineRule="exact"/>
        <w:rPr>
          <w:sz w:val="20"/>
          <w:szCs w:val="20"/>
          <w:color w:val="auto"/>
        </w:rPr>
      </w:pPr>
    </w:p>
    <w:p>
      <w:pPr>
        <w:jc w:val="both"/>
        <w:ind w:left="200" w:right="219" w:firstLine="9"/>
        <w:spacing w:after="0" w:line="275" w:lineRule="auto"/>
        <w:tabs>
          <w:tab w:leader="none" w:pos="527" w:val="left"/>
        </w:tabs>
        <w:numPr>
          <w:ilvl w:val="0"/>
          <w:numId w:val="25"/>
        </w:numPr>
        <w:rPr>
          <w:rFonts w:ascii="Arial" w:cs="Arial" w:eastAsia="Arial" w:hAnsi="Arial"/>
          <w:sz w:val="19"/>
          <w:szCs w:val="19"/>
          <w:color w:val="auto"/>
        </w:rPr>
      </w:pPr>
      <w:r>
        <w:rPr>
          <w:rFonts w:ascii="Arial" w:cs="Arial" w:eastAsia="Arial" w:hAnsi="Arial"/>
          <w:sz w:val="19"/>
          <w:szCs w:val="19"/>
          <w:color w:val="auto"/>
        </w:rPr>
        <w:t>Executive acknowledges that the Company continually develops Confidential Information; that Executive may develop Confidential Information for the Company; and that Executive may learn of Confidential Information during the course of employment. Executive will comply with the policies and procedures of the Company for protecting Confidential Information and shall not disclose to any Person or use, other than as required by applicable law or for the proper performance of his duties and responsibilities to the Company, any Confidential Information obtained by Executive incident to his employment or other association with the Company. Executive understands that this restriction shall continue to apply after his employment terminates, regardless of the reason for such termination, for a period of three (3) years. Further, Executive agrees to provide prompt notice to the Company of any required disclosure of Confidential Information sought pursuant to subpoena, court order or any other legal requirement and to provide the Company a reasonable opportunity to seek protection of the Confidential Information prior to any such disclosure.</w:t>
      </w:r>
    </w:p>
    <w:p>
      <w:pPr>
        <w:spacing w:after="0" w:line="127" w:lineRule="exact"/>
        <w:rPr>
          <w:rFonts w:ascii="Arial" w:cs="Arial" w:eastAsia="Arial" w:hAnsi="Arial"/>
          <w:sz w:val="19"/>
          <w:szCs w:val="19"/>
          <w:color w:val="auto"/>
        </w:rPr>
      </w:pPr>
    </w:p>
    <w:p>
      <w:pPr>
        <w:jc w:val="both"/>
        <w:ind w:left="200" w:right="219" w:firstLine="9"/>
        <w:spacing w:after="0" w:line="248" w:lineRule="auto"/>
        <w:tabs>
          <w:tab w:leader="none" w:pos="539" w:val="left"/>
        </w:tabs>
        <w:numPr>
          <w:ilvl w:val="0"/>
          <w:numId w:val="25"/>
        </w:numPr>
        <w:rPr>
          <w:rFonts w:ascii="Arial" w:cs="Arial" w:eastAsia="Arial" w:hAnsi="Arial"/>
          <w:sz w:val="21"/>
          <w:szCs w:val="21"/>
          <w:color w:val="auto"/>
        </w:rPr>
      </w:pPr>
      <w:r>
        <w:rPr>
          <w:rFonts w:ascii="Arial" w:cs="Arial" w:eastAsia="Arial" w:hAnsi="Arial"/>
          <w:sz w:val="21"/>
          <w:szCs w:val="21"/>
          <w:color w:val="auto"/>
        </w:rPr>
        <w:t>All documents, records, tapes and other media of every kind and description relating to the business, present or otherwise, of the Company and any copies, in whole or in part, thereof (the “Documents”), whether or not prepared by Executive, shall be the sole and exclusive property of the Company. Executive shall safeguard all Documents and shall surrender to the Company at the time his employment terminates, or at such earlier time or times as the Board may specify, all Documents then in Executive’s possession or control.</w:t>
      </w:r>
    </w:p>
    <w:p>
      <w:pPr>
        <w:spacing w:after="0" w:line="225" w:lineRule="exact"/>
        <w:rPr>
          <w:sz w:val="20"/>
          <w:szCs w:val="20"/>
          <w:color w:val="auto"/>
        </w:rPr>
      </w:pPr>
    </w:p>
    <w:p>
      <w:pPr>
        <w:jc w:val="both"/>
        <w:ind w:left="200" w:right="219" w:firstLine="9"/>
        <w:spacing w:after="0" w:line="261" w:lineRule="auto"/>
        <w:tabs>
          <w:tab w:leader="none" w:pos="466"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Assignment of Rights to Intellectual Property</w:t>
      </w:r>
      <w:r>
        <w:rPr>
          <w:rFonts w:ascii="Arial" w:cs="Arial" w:eastAsia="Arial" w:hAnsi="Arial"/>
          <w:sz w:val="20"/>
          <w:szCs w:val="20"/>
          <w:color w:val="auto"/>
        </w:rPr>
        <w:t>. Executive agrees to maintain accurate and</w:t>
      </w:r>
      <w:r>
        <w:rPr>
          <w:rFonts w:ascii="Arial" w:cs="Arial" w:eastAsia="Arial" w:hAnsi="Arial"/>
          <w:sz w:val="20"/>
          <w:szCs w:val="20"/>
          <w:b w:val="1"/>
          <w:bCs w:val="1"/>
          <w:color w:val="auto"/>
        </w:rPr>
        <w:t xml:space="preserve"> </w:t>
      </w:r>
      <w:r>
        <w:rPr>
          <w:rFonts w:ascii="Arial" w:cs="Arial" w:eastAsia="Arial" w:hAnsi="Arial"/>
          <w:sz w:val="20"/>
          <w:szCs w:val="20"/>
          <w:color w:val="auto"/>
        </w:rPr>
        <w:t>complete contemporaneous records of and shall immediately and fully disclose and deliver to the Company, all Intellectual Property, as defined below. Executive hereby assigns and agrees to assign to the Company (or as otherwise directed by the Company) his full right, title and interest in and to all Intellectual Property. Executive agrees to execute any and all applications for domestic and foreign patents, copyrights and other proprietary rights and do such other acts (including, among others, the execution and delivery of instruments of further assurance or confirmation) requested by the Company to assign the Intellectual Property to the Company and to permit the Company to enforce any patents, copyrights and other proprietary rights in the Intellectual Property. Executive will not charge the Company for time spent in complying with these obligations. All copyrightable works that Executive creates shall be considered “work made for hire” and shall, upon creation, be owned exclusively by the Company.</w:t>
      </w:r>
    </w:p>
    <w:p>
      <w:pPr>
        <w:spacing w:after="0" w:line="211" w:lineRule="exact"/>
        <w:rPr>
          <w:rFonts w:ascii="Arial" w:cs="Arial" w:eastAsia="Arial" w:hAnsi="Arial"/>
          <w:sz w:val="20"/>
          <w:szCs w:val="20"/>
          <w:color w:val="auto"/>
        </w:rPr>
      </w:pPr>
    </w:p>
    <w:p>
      <w:pPr>
        <w:jc w:val="both"/>
        <w:ind w:left="200" w:right="219" w:firstLine="9"/>
        <w:spacing w:after="0" w:line="262" w:lineRule="auto"/>
        <w:tabs>
          <w:tab w:leader="none" w:pos="426" w:val="left"/>
        </w:tabs>
        <w:numPr>
          <w:ilvl w:val="0"/>
          <w:numId w:val="26"/>
        </w:numPr>
        <w:rPr>
          <w:rFonts w:ascii="Arial" w:cs="Arial" w:eastAsia="Arial" w:hAnsi="Arial"/>
          <w:sz w:val="21"/>
          <w:szCs w:val="21"/>
          <w:color w:val="auto"/>
        </w:rPr>
      </w:pPr>
      <w:r>
        <w:rPr>
          <w:rFonts w:ascii="Arial" w:cs="Arial" w:eastAsia="Arial" w:hAnsi="Arial"/>
          <w:sz w:val="21"/>
          <w:szCs w:val="21"/>
          <w:b w:val="1"/>
          <w:bCs w:val="1"/>
          <w:color w:val="auto"/>
        </w:rPr>
        <w:t>Restricted Activities</w:t>
      </w:r>
      <w:r>
        <w:rPr>
          <w:rFonts w:ascii="Arial" w:cs="Arial" w:eastAsia="Arial" w:hAnsi="Arial"/>
          <w:sz w:val="21"/>
          <w:szCs w:val="21"/>
          <w:color w:val="auto"/>
        </w:rPr>
        <w:t>. Executive agrees that some restrictions on his activities during and after his</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are necessary to protect the goodwill, Confidential Information and other legitimate interested of the Company:</w:t>
      </w:r>
    </w:p>
    <w:p>
      <w:pPr>
        <w:spacing w:after="0" w:line="214" w:lineRule="exact"/>
        <w:rPr>
          <w:rFonts w:ascii="Arial" w:cs="Arial" w:eastAsia="Arial" w:hAnsi="Arial"/>
          <w:sz w:val="21"/>
          <w:szCs w:val="21"/>
          <w:color w:val="auto"/>
        </w:rPr>
      </w:pPr>
    </w:p>
    <w:p>
      <w:pPr>
        <w:jc w:val="both"/>
        <w:ind w:left="200" w:right="219" w:firstLine="657"/>
        <w:spacing w:after="0" w:line="260" w:lineRule="auto"/>
        <w:tabs>
          <w:tab w:leader="none" w:pos="1136" w:val="left"/>
        </w:tabs>
        <w:numPr>
          <w:ilvl w:val="1"/>
          <w:numId w:val="26"/>
        </w:numPr>
        <w:rPr>
          <w:rFonts w:ascii="Arial" w:cs="Arial" w:eastAsia="Arial" w:hAnsi="Arial"/>
          <w:sz w:val="20"/>
          <w:szCs w:val="20"/>
          <w:color w:val="auto"/>
        </w:rPr>
      </w:pPr>
      <w:r>
        <w:rPr>
          <w:rFonts w:ascii="Arial" w:cs="Arial" w:eastAsia="Arial" w:hAnsi="Arial"/>
          <w:sz w:val="20"/>
          <w:szCs w:val="20"/>
          <w:color w:val="auto"/>
        </w:rPr>
        <w:t>While Executive is employed by the Company and for the twelve (12) months immediately following termination of his employment (in the aggregate, the “Non-Competition Period”), Executive shall not, directly or indirectly, whether as owner, partner, investor, consultant, agent, employee, joint venturer or otherwise, compete with the Company within any area of the world where Company is doing business (the “Restricted Area”). Specifically, Executive agrees not to engage in any manner in any activity that is directly competitive with the business of the Company as conducted at the time of Executive’s departure from the Company. For the purposes of this Section 9, the business of the Company shall include,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191770</wp:posOffset>
            </wp:positionV>
            <wp:extent cx="54521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6 | </w:t>
      </w:r>
      <w:r>
        <w:rPr>
          <w:rFonts w:ascii="Arial" w:cs="Arial" w:eastAsia="Arial" w:hAnsi="Arial"/>
          <w:sz w:val="20"/>
          <w:szCs w:val="20"/>
          <w:b w:val="1"/>
          <w:bCs w:val="1"/>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0" w:right="1440" w:bottom="1440" w:gutter="0" w:footer="0" w:header="0"/>
        </w:sectPr>
      </w:pPr>
    </w:p>
    <w:bookmarkStart w:id="48" w:name="page49"/>
    <w:bookmarkEnd w:id="48"/>
    <w:p>
      <w:pPr>
        <w:jc w:val="both"/>
        <w:ind w:left="2160" w:right="219" w:hanging="655"/>
        <w:spacing w:after="0" w:line="266" w:lineRule="auto"/>
        <w:tabs>
          <w:tab w:leader="none" w:pos="2160" w:val="left"/>
        </w:tabs>
        <w:numPr>
          <w:ilvl w:val="1"/>
          <w:numId w:val="27"/>
        </w:numPr>
        <w:rPr>
          <w:rFonts w:ascii="Arial" w:cs="Arial" w:eastAsia="Arial" w:hAnsi="Arial"/>
          <w:sz w:val="21"/>
          <w:szCs w:val="21"/>
          <w:color w:val="auto"/>
        </w:rPr>
      </w:pPr>
      <w:r>
        <w:rPr>
          <w:rFonts w:ascii="Arial" w:cs="Arial" w:eastAsia="Arial" w:hAnsi="Arial"/>
          <w:sz w:val="21"/>
          <w:szCs w:val="21"/>
          <w:color w:val="auto"/>
        </w:rPr>
        <w:t>development and distribution of Aviptadil and/or other peptide drugs to treat Acute Respiratory Distress Syndrome (ARDS), particularly ARDS arising from or in conjunction with an infectious disease including but not limited to COVID-19;</w:t>
      </w:r>
    </w:p>
    <w:p>
      <w:pPr>
        <w:spacing w:after="0" w:line="130" w:lineRule="exact"/>
        <w:rPr>
          <w:rFonts w:ascii="Arial" w:cs="Arial" w:eastAsia="Arial" w:hAnsi="Arial"/>
          <w:sz w:val="21"/>
          <w:szCs w:val="21"/>
          <w:color w:val="auto"/>
        </w:rPr>
      </w:pPr>
    </w:p>
    <w:p>
      <w:pPr>
        <w:jc w:val="both"/>
        <w:ind w:left="2160" w:right="219" w:hanging="655"/>
        <w:spacing w:after="0" w:line="306" w:lineRule="auto"/>
        <w:tabs>
          <w:tab w:leader="none" w:pos="2160" w:val="left"/>
        </w:tabs>
        <w:numPr>
          <w:ilvl w:val="1"/>
          <w:numId w:val="27"/>
        </w:numPr>
        <w:rPr>
          <w:rFonts w:ascii="Arial" w:cs="Arial" w:eastAsia="Arial" w:hAnsi="Arial"/>
          <w:sz w:val="19"/>
          <w:szCs w:val="19"/>
          <w:color w:val="auto"/>
        </w:rPr>
      </w:pPr>
      <w:r>
        <w:rPr>
          <w:rFonts w:ascii="Arial" w:cs="Arial" w:eastAsia="Arial" w:hAnsi="Arial"/>
          <w:sz w:val="19"/>
          <w:szCs w:val="19"/>
          <w:color w:val="auto"/>
        </w:rPr>
        <w:t>development and distribution of NMDA, Glutamine/Glutamate, and GABA-targeted drugs to treat psychiatric conditions, and/or an indication or a claim involving the treatment of depression, PTSD, or reduction of suicidal ideation;</w:t>
      </w:r>
    </w:p>
    <w:p>
      <w:pPr>
        <w:spacing w:after="0" w:line="109" w:lineRule="exact"/>
        <w:rPr>
          <w:rFonts w:ascii="Arial" w:cs="Arial" w:eastAsia="Arial" w:hAnsi="Arial"/>
          <w:sz w:val="19"/>
          <w:szCs w:val="19"/>
          <w:color w:val="auto"/>
        </w:rPr>
      </w:pPr>
    </w:p>
    <w:p>
      <w:pPr>
        <w:ind w:left="2160" w:right="239" w:hanging="655"/>
        <w:spacing w:after="0" w:line="277" w:lineRule="auto"/>
        <w:tabs>
          <w:tab w:leader="none" w:pos="2160" w:val="left"/>
        </w:tabs>
        <w:numPr>
          <w:ilvl w:val="1"/>
          <w:numId w:val="27"/>
        </w:numPr>
        <w:rPr>
          <w:rFonts w:ascii="Arial" w:cs="Arial" w:eastAsia="Arial" w:hAnsi="Arial"/>
          <w:sz w:val="21"/>
          <w:szCs w:val="21"/>
          <w:color w:val="auto"/>
        </w:rPr>
      </w:pPr>
      <w:r>
        <w:rPr>
          <w:rFonts w:ascii="Arial" w:cs="Arial" w:eastAsia="Arial" w:hAnsi="Arial"/>
          <w:sz w:val="21"/>
          <w:szCs w:val="21"/>
          <w:color w:val="auto"/>
        </w:rPr>
        <w:t>development of any drug involving suicidal ideation or in which suicidal ideation is a substantial part of the clinical program; and</w:t>
      </w:r>
    </w:p>
    <w:p>
      <w:pPr>
        <w:spacing w:after="0" w:line="198" w:lineRule="exact"/>
        <w:rPr>
          <w:rFonts w:ascii="Arial" w:cs="Arial" w:eastAsia="Arial" w:hAnsi="Arial"/>
          <w:sz w:val="21"/>
          <w:szCs w:val="21"/>
          <w:color w:val="auto"/>
        </w:rPr>
      </w:pPr>
    </w:p>
    <w:p>
      <w:pPr>
        <w:ind w:left="2160" w:right="239" w:hanging="655"/>
        <w:spacing w:after="0" w:line="277" w:lineRule="auto"/>
        <w:tabs>
          <w:tab w:leader="none" w:pos="2160" w:val="left"/>
        </w:tabs>
        <w:numPr>
          <w:ilvl w:val="1"/>
          <w:numId w:val="27"/>
        </w:numPr>
        <w:rPr>
          <w:rFonts w:ascii="Arial" w:cs="Arial" w:eastAsia="Arial" w:hAnsi="Arial"/>
          <w:sz w:val="21"/>
          <w:szCs w:val="21"/>
          <w:color w:val="auto"/>
        </w:rPr>
      </w:pPr>
      <w:r>
        <w:rPr>
          <w:rFonts w:ascii="Arial" w:cs="Arial" w:eastAsia="Arial" w:hAnsi="Arial"/>
          <w:sz w:val="21"/>
          <w:szCs w:val="21"/>
          <w:color w:val="auto"/>
        </w:rPr>
        <w:t>any other drug which is developed or distributed by the Company during the term hereof.</w:t>
      </w:r>
    </w:p>
    <w:p>
      <w:pPr>
        <w:spacing w:after="0" w:line="185" w:lineRule="exact"/>
        <w:rPr>
          <w:rFonts w:ascii="Arial" w:cs="Arial" w:eastAsia="Arial" w:hAnsi="Arial"/>
          <w:sz w:val="21"/>
          <w:szCs w:val="21"/>
          <w:color w:val="auto"/>
        </w:rPr>
      </w:pPr>
    </w:p>
    <w:p>
      <w:pPr>
        <w:jc w:val="both"/>
        <w:ind w:left="200" w:right="219" w:firstLine="657"/>
        <w:spacing w:after="0" w:line="299" w:lineRule="auto"/>
        <w:tabs>
          <w:tab w:leader="none" w:pos="1151" w:val="left"/>
        </w:tabs>
        <w:numPr>
          <w:ilvl w:val="0"/>
          <w:numId w:val="28"/>
        </w:numPr>
        <w:rPr>
          <w:rFonts w:ascii="Arial" w:cs="Arial" w:eastAsia="Arial" w:hAnsi="Arial"/>
          <w:sz w:val="19"/>
          <w:szCs w:val="19"/>
          <w:color w:val="auto"/>
        </w:rPr>
      </w:pPr>
      <w:r>
        <w:rPr>
          <w:rFonts w:ascii="Arial" w:cs="Arial" w:eastAsia="Arial" w:hAnsi="Arial"/>
          <w:sz w:val="19"/>
          <w:szCs w:val="19"/>
          <w:color w:val="auto"/>
        </w:rPr>
        <w:t>Executive agrees that during his employment with the Company, he will not undertake any outside activity, whether or not competitive with the business of the Company, that could reasonably give rise to a conflict of interest or otherwise interfere with his duties and obligations to the Company.</w:t>
      </w:r>
    </w:p>
    <w:p>
      <w:pPr>
        <w:spacing w:after="0" w:line="168" w:lineRule="exact"/>
        <w:rPr>
          <w:rFonts w:ascii="Arial" w:cs="Arial" w:eastAsia="Arial" w:hAnsi="Arial"/>
          <w:sz w:val="19"/>
          <w:szCs w:val="19"/>
          <w:color w:val="auto"/>
        </w:rPr>
      </w:pPr>
    </w:p>
    <w:p>
      <w:pPr>
        <w:jc w:val="both"/>
        <w:ind w:left="200" w:right="219" w:firstLine="657"/>
        <w:spacing w:after="0" w:line="248" w:lineRule="auto"/>
        <w:tabs>
          <w:tab w:leader="none" w:pos="1134" w:val="left"/>
        </w:tabs>
        <w:numPr>
          <w:ilvl w:val="0"/>
          <w:numId w:val="28"/>
        </w:numPr>
        <w:rPr>
          <w:rFonts w:ascii="Arial" w:cs="Arial" w:eastAsia="Arial" w:hAnsi="Arial"/>
          <w:sz w:val="21"/>
          <w:szCs w:val="21"/>
          <w:color w:val="auto"/>
        </w:rPr>
      </w:pPr>
      <w:r>
        <w:rPr>
          <w:rFonts w:ascii="Arial" w:cs="Arial" w:eastAsia="Arial" w:hAnsi="Arial"/>
          <w:sz w:val="21"/>
          <w:szCs w:val="21"/>
          <w:color w:val="auto"/>
        </w:rPr>
        <w:t>Executive further agrees that during the Non-Competition Period, Executive will not hire or attempt to hire any employee or contractor of the Company, assist in such hiring by any person, or encourage any such employee to terminate his or his relationship with the Company; provided, however, that the foregoing will not apply to any employee that has terminated his or her employment relationship with the Company at least six (6) months prior to the date on which Executive’s employment relationship with the Company is terminated.</w:t>
      </w:r>
    </w:p>
    <w:p>
      <w:pPr>
        <w:spacing w:after="0" w:line="230" w:lineRule="exact"/>
        <w:rPr>
          <w:rFonts w:ascii="Arial" w:cs="Arial" w:eastAsia="Arial" w:hAnsi="Arial"/>
          <w:sz w:val="21"/>
          <w:szCs w:val="21"/>
          <w:color w:val="auto"/>
        </w:rPr>
      </w:pPr>
    </w:p>
    <w:p>
      <w:pPr>
        <w:jc w:val="both"/>
        <w:ind w:left="200" w:right="219" w:firstLine="657"/>
        <w:spacing w:after="0" w:line="253" w:lineRule="auto"/>
        <w:tabs>
          <w:tab w:leader="none" w:pos="1148" w:val="left"/>
        </w:tabs>
        <w:numPr>
          <w:ilvl w:val="0"/>
          <w:numId w:val="28"/>
        </w:numPr>
        <w:rPr>
          <w:rFonts w:ascii="Arial" w:cs="Arial" w:eastAsia="Arial" w:hAnsi="Arial"/>
          <w:sz w:val="21"/>
          <w:szCs w:val="21"/>
          <w:color w:val="auto"/>
        </w:rPr>
      </w:pPr>
      <w:r>
        <w:rPr>
          <w:rFonts w:ascii="Arial" w:cs="Arial" w:eastAsia="Arial" w:hAnsi="Arial"/>
          <w:sz w:val="21"/>
          <w:szCs w:val="21"/>
          <w:color w:val="auto"/>
        </w:rPr>
        <w:t>Executive further agrees that during the Non-Competition Period, Executive will not solicit any customer or vendor of the Company to terminate or diminish its relationship with them, or, in the case of a customer, to conduct with any Person any business or activity which such customer conducts immediately prior to Executive’s departure with the Company</w:t>
      </w:r>
    </w:p>
    <w:p>
      <w:pPr>
        <w:spacing w:after="0" w:line="210" w:lineRule="exact"/>
        <w:rPr>
          <w:rFonts w:ascii="Arial" w:cs="Arial" w:eastAsia="Arial" w:hAnsi="Arial"/>
          <w:sz w:val="21"/>
          <w:szCs w:val="21"/>
          <w:color w:val="auto"/>
        </w:rPr>
      </w:pPr>
    </w:p>
    <w:p>
      <w:pPr>
        <w:jc w:val="both"/>
        <w:ind w:left="200" w:right="219" w:firstLine="657"/>
        <w:spacing w:after="0" w:line="275" w:lineRule="auto"/>
        <w:tabs>
          <w:tab w:leader="none" w:pos="1138" w:val="left"/>
        </w:tabs>
        <w:numPr>
          <w:ilvl w:val="0"/>
          <w:numId w:val="28"/>
        </w:numPr>
        <w:rPr>
          <w:rFonts w:ascii="Arial" w:cs="Arial" w:eastAsia="Arial" w:hAnsi="Arial"/>
          <w:sz w:val="19"/>
          <w:szCs w:val="19"/>
          <w:color w:val="auto"/>
        </w:rPr>
      </w:pPr>
      <w:r>
        <w:rPr>
          <w:rFonts w:ascii="Arial" w:cs="Arial" w:eastAsia="Arial" w:hAnsi="Arial"/>
          <w:sz w:val="19"/>
          <w:szCs w:val="19"/>
          <w:color w:val="auto"/>
        </w:rPr>
        <w:t>Nothing in this Agreement shall prohibit or restrict the Company, its affiliates or Executive or their respective attorneys from: (i) making any disclosure of relevant and necessary information or documents in any action, investigation, or proceeding relating to this Agreement, or as required by law or legal process, including with respect to possible violations of law; (ii) participating, cooperating, or testifying in any action, investigation, or proceeding with, or providing information to, any governmental agency or legislative body, any self-regulatory organization, and/or pursuant to the Sarbanes-Oxley Act; or (iii) accepting any U.S. Securities and Exchange Commission awards. In addition, nothing in this Agreement prohibits or restricts the Company, its affiliates or Executive from initiating communications with, or responding to any inquiry from, any regulatory or supervisory authority regarding any good faith concerns about possible violations of law or regulation.</w:t>
      </w:r>
    </w:p>
    <w:p>
      <w:pPr>
        <w:spacing w:after="0" w:line="210" w:lineRule="exact"/>
        <w:rPr>
          <w:rFonts w:ascii="Arial" w:cs="Arial" w:eastAsia="Arial" w:hAnsi="Arial"/>
          <w:sz w:val="19"/>
          <w:szCs w:val="19"/>
          <w:color w:val="auto"/>
        </w:rPr>
      </w:pPr>
    </w:p>
    <w:p>
      <w:pPr>
        <w:jc w:val="both"/>
        <w:ind w:left="200" w:right="219" w:firstLine="657"/>
        <w:spacing w:after="0" w:line="292" w:lineRule="auto"/>
        <w:tabs>
          <w:tab w:leader="none" w:pos="11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Pursuant to 18 U.S.C. § 1833(b), Executive will not be held criminally or civilly liable under any Federal or State trade secret law for the disclosure of a trade secret of the Company or any of its affiliates that (i) is made (A) in confidence to a Federal, State, or local government official, either directly or indirectly, or to Executive’s attorney and (B)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trade secret to Executive’s attorney and use the trade secret information in the court proceeding, if Executive files any document containing the trade secret under seal and does not disclose the trade secret except under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69215</wp:posOffset>
            </wp:positionV>
            <wp:extent cx="54521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9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7 | </w:t>
      </w:r>
      <w:r>
        <w:rPr>
          <w:rFonts w:ascii="Arial" w:cs="Arial" w:eastAsia="Arial" w:hAnsi="Arial"/>
          <w:sz w:val="20"/>
          <w:szCs w:val="20"/>
          <w:b w:val="1"/>
          <w:bCs w:val="1"/>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49" w:name="page50"/>
    <w:bookmarkEnd w:id="49"/>
    <w:p>
      <w:pPr>
        <w:ind w:left="200" w:right="239"/>
        <w:spacing w:after="0" w:line="277" w:lineRule="auto"/>
        <w:rPr>
          <w:sz w:val="20"/>
          <w:szCs w:val="20"/>
          <w:color w:val="auto"/>
        </w:rPr>
      </w:pPr>
      <w:r>
        <w:rPr>
          <w:rFonts w:ascii="Arial" w:cs="Arial" w:eastAsia="Arial" w:hAnsi="Arial"/>
          <w:sz w:val="21"/>
          <w:szCs w:val="21"/>
          <w:color w:val="auto"/>
        </w:rPr>
        <w:t>Nothing in this Agreement is intended to conflict with 18 U.S.C. § 1833(b) or create liability for disclosures of trade secrets that are expressly allowed by such section.</w:t>
      </w:r>
    </w:p>
    <w:p>
      <w:pPr>
        <w:spacing w:after="0" w:line="185" w:lineRule="exact"/>
        <w:rPr>
          <w:sz w:val="20"/>
          <w:szCs w:val="20"/>
          <w:color w:val="auto"/>
        </w:rPr>
      </w:pPr>
    </w:p>
    <w:p>
      <w:pPr>
        <w:jc w:val="both"/>
        <w:ind w:left="200" w:right="219" w:firstLine="657"/>
        <w:spacing w:after="0" w:line="283" w:lineRule="auto"/>
        <w:tabs>
          <w:tab w:leader="none" w:pos="1159" w:val="left"/>
        </w:tabs>
        <w:numPr>
          <w:ilvl w:val="1"/>
          <w:numId w:val="29"/>
        </w:numPr>
        <w:rPr>
          <w:rFonts w:ascii="Arial" w:cs="Arial" w:eastAsia="Arial" w:hAnsi="Arial"/>
          <w:sz w:val="19"/>
          <w:szCs w:val="19"/>
          <w:color w:val="auto"/>
        </w:rPr>
      </w:pPr>
      <w:r>
        <w:rPr>
          <w:rFonts w:ascii="Arial" w:cs="Arial" w:eastAsia="Arial" w:hAnsi="Arial"/>
          <w:sz w:val="19"/>
          <w:szCs w:val="19"/>
          <w:color w:val="auto"/>
        </w:rPr>
        <w:t>Executive agrees that, during Executive’s employment with the Company and at all times thereafter, Executive shall not issue, circulate, publish or utter any false or disparaging statements, remarks or rumors about the Company or the customers, employees, directors, managers, officers, products, partners, shareholders or services of the Company; provided, that, nothing herein shall prohibit Executive from providing truthful testimony if such testimony is required by law).</w:t>
      </w:r>
    </w:p>
    <w:p>
      <w:pPr>
        <w:spacing w:after="0" w:line="190" w:lineRule="exact"/>
        <w:rPr>
          <w:rFonts w:ascii="Arial" w:cs="Arial" w:eastAsia="Arial" w:hAnsi="Arial"/>
          <w:sz w:val="19"/>
          <w:szCs w:val="19"/>
          <w:color w:val="auto"/>
        </w:rPr>
      </w:pPr>
    </w:p>
    <w:p>
      <w:pPr>
        <w:jc w:val="both"/>
        <w:ind w:left="200" w:right="219" w:firstLine="9"/>
        <w:spacing w:after="0" w:line="273" w:lineRule="auto"/>
        <w:tabs>
          <w:tab w:leader="none" w:pos="557"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Section 409A of the Code</w:t>
      </w:r>
      <w:r>
        <w:rPr>
          <w:rFonts w:ascii="Arial" w:cs="Arial" w:eastAsia="Arial" w:hAnsi="Arial"/>
          <w:sz w:val="19"/>
          <w:szCs w:val="19"/>
          <w:color w:val="auto"/>
        </w:rPr>
        <w:t>. Anything to the contrary herein notwithstanding, all benefits or</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provided by the Company to Executive are intended to be exempt from Section 409A and any payments or benefits that would be deemed to constitute “nonqualified deferred compensation” within the meaning of Section 409A of the Internal Revenue Code (“Section 409A”) are intended to comply with Section 409A and, in the event that any such benefit or payment is deemed to not comply with Section 409A, the Company and Executive agree to renegotiate in good faith any such benefit or payment so that either (i) Section 409A will not apply or (ii) compliance with Section 409A will be achieved, provided, however, that any resulting renegotiated terms shall provide to Executive, to the extent reasonably practicable, the after-tax economic equivalent based on what otherwise would have been provided to Executive pursuant to the terms of this Agreement. Notwithstanding the above, if Executive qualifies as a “specified employee,” as defined in Section 409A, incurs a separation from service for any reason other than death and becomes entitled to a distribution under this Agreement that constitutes nonqualified deferred compensation, then to the extent required by Section 409A, no distribution otherwise payable to such specified employee during the first six (6) months after the date of such separation from service, shall be paid to such specified employee until the date which is one day after the date which is six (6) months after the date of such separation from service (or, if earlier, the date of death of the specified employee). For purposes of Section 409A , Executive ’s right to receive any installment payment under this Agreement shall be treated as a right to receive a series of separate and distinct payments.</w:t>
      </w:r>
    </w:p>
    <w:p>
      <w:pPr>
        <w:spacing w:after="0" w:line="178" w:lineRule="exact"/>
        <w:rPr>
          <w:rFonts w:ascii="Arial" w:cs="Arial" w:eastAsia="Arial" w:hAnsi="Arial"/>
          <w:sz w:val="19"/>
          <w:szCs w:val="19"/>
          <w:color w:val="auto"/>
        </w:rPr>
      </w:pPr>
    </w:p>
    <w:p>
      <w:pPr>
        <w:jc w:val="both"/>
        <w:ind w:left="200" w:right="219" w:firstLine="9"/>
        <w:spacing w:after="0" w:line="275" w:lineRule="auto"/>
        <w:tabs>
          <w:tab w:leader="none" w:pos="508"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Enforcement of Covenants</w:t>
      </w:r>
      <w:r>
        <w:rPr>
          <w:rFonts w:ascii="Arial" w:cs="Arial" w:eastAsia="Arial" w:hAnsi="Arial"/>
          <w:sz w:val="19"/>
          <w:szCs w:val="19"/>
          <w:color w:val="auto"/>
        </w:rPr>
        <w:t>. Executive acknowledges that he has carefully read and considered all</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terms and conditions of this Agreement, including the restraints imposed upon him pursuant to Sections 7, 8 and 9 hereof. Executive agrees that those restraints are necessary for the reasonable and proper protection of the Company and that each and every one of the restraints is reasonable in respect to subject matter, length of time and geographic area. Executive further acknowledges that, were he to breach any of the covenants contained in Sections 7, 8 or 9 hereof, the damage to the Company would be irreparable. Executive therefore agrees that the Company, in addition to any other remedies available to it, shall be entitled to seek preliminary and permanent injunctive relief against any breach or threatened breach by Executive of any of said covenants, without having to post bond. The parties further agree that, in the event that any provision of Section 7, 8 or 9 hereof shall be determined by a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70" w:lineRule="exact"/>
        <w:rPr>
          <w:rFonts w:ascii="Arial" w:cs="Arial" w:eastAsia="Arial" w:hAnsi="Arial"/>
          <w:sz w:val="19"/>
          <w:szCs w:val="19"/>
          <w:color w:val="auto"/>
        </w:rPr>
      </w:pPr>
    </w:p>
    <w:p>
      <w:pPr>
        <w:jc w:val="both"/>
        <w:ind w:left="200" w:right="219" w:firstLine="9"/>
        <w:spacing w:after="0" w:line="290" w:lineRule="auto"/>
        <w:tabs>
          <w:tab w:leader="none" w:pos="530"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Conflicting Agreements</w:t>
      </w:r>
      <w:r>
        <w:rPr>
          <w:rFonts w:ascii="Arial" w:cs="Arial" w:eastAsia="Arial" w:hAnsi="Arial"/>
          <w:sz w:val="19"/>
          <w:szCs w:val="19"/>
          <w:color w:val="auto"/>
        </w:rPr>
        <w:t>. Executive represents and warrants to the Company that as of the date</w:t>
      </w:r>
      <w:r>
        <w:rPr>
          <w:rFonts w:ascii="Arial" w:cs="Arial" w:eastAsia="Arial" w:hAnsi="Arial"/>
          <w:sz w:val="19"/>
          <w:szCs w:val="19"/>
          <w:b w:val="1"/>
          <w:bCs w:val="1"/>
          <w:color w:val="auto"/>
        </w:rPr>
        <w:t xml:space="preserve"> </w:t>
      </w:r>
      <w:r>
        <w:rPr>
          <w:rFonts w:ascii="Arial" w:cs="Arial" w:eastAsia="Arial" w:hAnsi="Arial"/>
          <w:sz w:val="19"/>
          <w:szCs w:val="19"/>
          <w:color w:val="auto"/>
        </w:rPr>
        <w:t>hereof and as of the Effective Date (i) neither the execution and delivery of this Agreement by Executive nor (ii) the performance of Executive’s obligations hereunder, shall constitute a default under or a breach of any other agreement or contract to which Executive is a party or by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61595</wp:posOffset>
            </wp:positionV>
            <wp:extent cx="54521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8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8 | </w:t>
      </w:r>
      <w:r>
        <w:rPr>
          <w:rFonts w:ascii="Arial" w:cs="Arial" w:eastAsia="Arial" w:hAnsi="Arial"/>
          <w:sz w:val="20"/>
          <w:szCs w:val="20"/>
          <w:b w:val="1"/>
          <w:bCs w:val="1"/>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50" w:name="page51"/>
    <w:bookmarkEnd w:id="50"/>
    <w:p>
      <w:pPr>
        <w:jc w:val="both"/>
        <w:ind w:left="200" w:right="219"/>
        <w:spacing w:after="0" w:line="274" w:lineRule="auto"/>
        <w:rPr>
          <w:sz w:val="20"/>
          <w:szCs w:val="20"/>
          <w:color w:val="auto"/>
        </w:rPr>
      </w:pPr>
      <w:r>
        <w:rPr>
          <w:rFonts w:ascii="Arial" w:cs="Arial" w:eastAsia="Arial" w:hAnsi="Arial"/>
          <w:sz w:val="19"/>
          <w:szCs w:val="19"/>
          <w:color w:val="auto"/>
        </w:rPr>
        <w:t>Executive is bound, nor shall the execution and delivery of this Agreement by Executive nor the performance of Executive’s duties and obligations hereunder give rise to any claim or charge against either Executive or the Company based upon any other contract, or agreement to which Executive is a party or by which Executive is bound, (iii) Executive is not now subject to any covenants against competition or similar covenants, any court order or other legal obligation, or other agreement that would affect the performance of his obligations hereunder or would otherwise conflict with, prevent or restrict the full performance of Executive’s duties and obligations to the Company hereunder during or after the Term, (iv) there are no facts or circumstances or actions by Executive which would result in material economic or reputational damage to the Company, and (v) Executive is lawfully permitted to work in the United States on and after the Effective Date. Executive’s employment is contingent upon the completion of a background investigation and reference check satisfactory to the Company in its discretion. Executive covenants that he will not disclose or use on behalf of the Company any proprietary information of a third party without such party’s consent. Any breach of this Section 12 shall constitute Cause.</w:t>
      </w:r>
    </w:p>
    <w:p>
      <w:pPr>
        <w:spacing w:after="0" w:line="201" w:lineRule="exact"/>
        <w:rPr>
          <w:sz w:val="20"/>
          <w:szCs w:val="20"/>
          <w:color w:val="auto"/>
        </w:rPr>
      </w:pPr>
    </w:p>
    <w:p>
      <w:pPr>
        <w:jc w:val="both"/>
        <w:ind w:left="200" w:right="219" w:firstLine="9"/>
        <w:spacing w:after="0" w:line="255" w:lineRule="auto"/>
        <w:tabs>
          <w:tab w:leader="none" w:pos="530" w:val="left"/>
        </w:tabs>
        <w:numPr>
          <w:ilvl w:val="0"/>
          <w:numId w:val="31"/>
        </w:numPr>
        <w:rPr>
          <w:rFonts w:ascii="Arial" w:cs="Arial" w:eastAsia="Arial" w:hAnsi="Arial"/>
          <w:sz w:val="21"/>
          <w:szCs w:val="21"/>
          <w:color w:val="auto"/>
        </w:rPr>
      </w:pPr>
      <w:r>
        <w:rPr>
          <w:rFonts w:ascii="Arial" w:cs="Arial" w:eastAsia="Arial" w:hAnsi="Arial"/>
          <w:sz w:val="21"/>
          <w:szCs w:val="21"/>
          <w:b w:val="1"/>
          <w:bCs w:val="1"/>
          <w:color w:val="auto"/>
        </w:rPr>
        <w:t>Definitions</w:t>
      </w:r>
      <w:r>
        <w:rPr>
          <w:rFonts w:ascii="Arial" w:cs="Arial" w:eastAsia="Arial" w:hAnsi="Arial"/>
          <w:sz w:val="21"/>
          <w:szCs w:val="21"/>
          <w:color w:val="auto"/>
        </w:rPr>
        <w:t>. Words or phrases which are initially capitalized or are within quotation marks shall</w:t>
      </w:r>
      <w:r>
        <w:rPr>
          <w:rFonts w:ascii="Arial" w:cs="Arial" w:eastAsia="Arial" w:hAnsi="Arial"/>
          <w:sz w:val="21"/>
          <w:szCs w:val="21"/>
          <w:b w:val="1"/>
          <w:bCs w:val="1"/>
          <w:color w:val="auto"/>
        </w:rPr>
        <w:t xml:space="preserve"> </w:t>
      </w:r>
      <w:r>
        <w:rPr>
          <w:rFonts w:ascii="Arial" w:cs="Arial" w:eastAsia="Arial" w:hAnsi="Arial"/>
          <w:sz w:val="21"/>
          <w:szCs w:val="21"/>
          <w:color w:val="auto"/>
        </w:rPr>
        <w:t>have the meanings provided in this Section and as provided elsewhere herein. For purposes of this Agreement, the following definitions apply:</w:t>
      </w:r>
    </w:p>
    <w:p>
      <w:pPr>
        <w:spacing w:after="0" w:line="141" w:lineRule="exact"/>
        <w:rPr>
          <w:sz w:val="20"/>
          <w:szCs w:val="20"/>
          <w:color w:val="auto"/>
        </w:rPr>
      </w:pPr>
    </w:p>
    <w:p>
      <w:pPr>
        <w:jc w:val="both"/>
        <w:ind w:left="200" w:right="219" w:firstLine="9"/>
        <w:spacing w:after="0" w:line="264" w:lineRule="auto"/>
        <w:tabs>
          <w:tab w:leader="none" w:pos="487"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 of Control” means (i) a</w:t>
      </w:r>
      <w:r>
        <w:rPr>
          <w:rFonts w:ascii="Arial" w:cs="Arial" w:eastAsia="Arial" w:hAnsi="Arial"/>
          <w:sz w:val="20"/>
          <w:szCs w:val="20"/>
          <w:color w:val="424242"/>
        </w:rPr>
        <w:t>ny change in the Company’s ownership occurring when any person</w:t>
      </w:r>
      <w:r>
        <w:rPr>
          <w:rFonts w:ascii="Arial" w:cs="Arial" w:eastAsia="Arial" w:hAnsi="Arial"/>
          <w:sz w:val="20"/>
          <w:szCs w:val="20"/>
          <w:color w:val="auto"/>
        </w:rPr>
        <w:t xml:space="preserve"> </w:t>
      </w:r>
      <w:r>
        <w:rPr>
          <w:rFonts w:ascii="Arial" w:cs="Arial" w:eastAsia="Arial" w:hAnsi="Arial"/>
          <w:sz w:val="20"/>
          <w:szCs w:val="20"/>
          <w:color w:val="424242"/>
        </w:rPr>
        <w:t>or company, directly or indirectly, becomes the beneficial owner of voting equity shares of the entity (to the extent of more than 50 percent of the voting shares or the rights to acquire such shares; (ii) any direct or indirect sale or transfer of substantially all of the assets of the Company; (iii) a plan of Company liquidation or an agreement for the sale on liquidation is legally approved and completed; or (iv) the board or empowered managing committee determines and declares that a change of control has occurred, irrespective of any occurrences described above.</w:t>
      </w:r>
    </w:p>
    <w:p>
      <w:pPr>
        <w:spacing w:after="0" w:line="132" w:lineRule="exact"/>
        <w:rPr>
          <w:rFonts w:ascii="Arial" w:cs="Arial" w:eastAsia="Arial" w:hAnsi="Arial"/>
          <w:sz w:val="20"/>
          <w:szCs w:val="20"/>
          <w:color w:val="auto"/>
        </w:rPr>
      </w:pPr>
    </w:p>
    <w:p>
      <w:pPr>
        <w:jc w:val="both"/>
        <w:ind w:left="200" w:right="219" w:firstLine="9"/>
        <w:spacing w:after="0" w:line="271" w:lineRule="auto"/>
        <w:tabs>
          <w:tab w:leader="none" w:pos="526"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“Confidential Information” means any and all information of the Company that is not generally known by Persons with whom the Company competes or does business, or with whom the Company plans to compete or do business and any and all information, publicly known in whole or in part or not, which, if disclosed by the Company would assist in competition against the Company. Confidential Information includes without limitation such information relating to (i) the development, research, testing, manufacturing, marketing and financial activities of the Company, (ii) the Company’s products and services, (iii) the costs, sources of supply, financial performance and strategic plans of the Company, (iv) the identity and special needs of the customers of the Company and (v) the people and organizations with whom the Company has a business relationship and the nature and substance of those relationships. Confidential Information also includes any information that the Company has received, or may receive hereafter, belonging to customers or others with any understanding, express or implied, that the information would not be disclosed. Notwithstanding anything to the contrary, Confidential Information will not include (i) any information that has been published in a form generally available to the public or within the trade or industry prior to the date Executive proposes to disclose or use such information, (ii) any information that Executive is legally required to disclose, or</w:t>
      </w:r>
    </w:p>
    <w:p>
      <w:pPr>
        <w:spacing w:after="0" w:line="2" w:lineRule="exact"/>
        <w:rPr>
          <w:rFonts w:ascii="Arial" w:cs="Arial" w:eastAsia="Arial" w:hAnsi="Arial"/>
          <w:sz w:val="19"/>
          <w:szCs w:val="19"/>
          <w:color w:val="auto"/>
        </w:rPr>
      </w:pPr>
    </w:p>
    <w:p>
      <w:pPr>
        <w:jc w:val="both"/>
        <w:ind w:left="200" w:right="219" w:firstLine="9"/>
        <w:spacing w:after="0" w:line="247" w:lineRule="auto"/>
        <w:tabs>
          <w:tab w:leader="none" w:pos="600" w:val="left"/>
        </w:tabs>
        <w:numPr>
          <w:ilvl w:val="0"/>
          <w:numId w:val="33"/>
        </w:numPr>
        <w:rPr>
          <w:rFonts w:ascii="Arial" w:cs="Arial" w:eastAsia="Arial" w:hAnsi="Arial"/>
          <w:sz w:val="21"/>
          <w:szCs w:val="21"/>
          <w:color w:val="auto"/>
        </w:rPr>
      </w:pPr>
      <w:r>
        <w:rPr>
          <w:rFonts w:ascii="Arial" w:cs="Arial" w:eastAsia="Arial" w:hAnsi="Arial"/>
          <w:sz w:val="21"/>
          <w:szCs w:val="21"/>
          <w:color w:val="auto"/>
        </w:rPr>
        <w:t>any information that is or becomes available to Executive on a non-confidential basis from a source other than Executive or an employee or a contractor of the Company; provided that such source is not known by Executive to be bound by a confidentiality agreement with, or other contractual legal or fiduciary obligation to the Company.</w:t>
      </w:r>
    </w:p>
    <w:p>
      <w:pPr>
        <w:spacing w:after="0" w:line="229" w:lineRule="exact"/>
        <w:rPr>
          <w:rFonts w:ascii="Arial" w:cs="Arial" w:eastAsia="Arial" w:hAnsi="Arial"/>
          <w:sz w:val="21"/>
          <w:szCs w:val="21"/>
          <w:color w:val="auto"/>
        </w:rPr>
      </w:pPr>
    </w:p>
    <w:p>
      <w:pPr>
        <w:jc w:val="both"/>
        <w:ind w:left="200" w:right="219" w:firstLine="9"/>
        <w:spacing w:after="0" w:line="253" w:lineRule="auto"/>
        <w:tabs>
          <w:tab w:leader="none" w:pos="523" w:val="left"/>
        </w:tabs>
        <w:numPr>
          <w:ilvl w:val="0"/>
          <w:numId w:val="34"/>
        </w:numPr>
        <w:rPr>
          <w:rFonts w:ascii="Arial" w:cs="Arial" w:eastAsia="Arial" w:hAnsi="Arial"/>
          <w:sz w:val="21"/>
          <w:szCs w:val="21"/>
          <w:color w:val="auto"/>
        </w:rPr>
      </w:pPr>
      <w:r>
        <w:rPr>
          <w:rFonts w:ascii="Arial" w:cs="Arial" w:eastAsia="Arial" w:hAnsi="Arial"/>
          <w:sz w:val="21"/>
          <w:szCs w:val="21"/>
          <w:color w:val="auto"/>
        </w:rPr>
        <w:t>“Intellectual Property” means any invention, formula, process, discovery, development, design, innovation or improvement (whether or not patentable or registrable under copyright statutes) made, conceived, or first actually reduced to practice by Executive, solely or jointly with others, during his employment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81915</wp:posOffset>
            </wp:positionV>
            <wp:extent cx="54521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9 | </w:t>
      </w:r>
      <w:r>
        <w:rPr>
          <w:rFonts w:ascii="Arial" w:cs="Arial" w:eastAsia="Arial" w:hAnsi="Arial"/>
          <w:sz w:val="20"/>
          <w:szCs w:val="20"/>
          <w:b w:val="1"/>
          <w:bCs w:val="1"/>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51" w:name="page52"/>
    <w:bookmarkEnd w:id="51"/>
    <w:p>
      <w:pPr>
        <w:ind w:left="200" w:right="219" w:firstLine="9"/>
        <w:spacing w:after="0" w:line="289" w:lineRule="auto"/>
        <w:tabs>
          <w:tab w:leader="none" w:pos="557" w:val="left"/>
        </w:tabs>
        <w:numPr>
          <w:ilvl w:val="0"/>
          <w:numId w:val="35"/>
        </w:numPr>
        <w:rPr>
          <w:rFonts w:ascii="Arial" w:cs="Arial" w:eastAsia="Arial" w:hAnsi="Arial"/>
          <w:sz w:val="20"/>
          <w:szCs w:val="20"/>
          <w:color w:val="auto"/>
        </w:rPr>
      </w:pPr>
      <w:r>
        <w:rPr>
          <w:rFonts w:ascii="Arial" w:cs="Arial" w:eastAsia="Arial" w:hAnsi="Arial"/>
          <w:sz w:val="20"/>
          <w:szCs w:val="20"/>
          <w:color w:val="auto"/>
        </w:rPr>
        <w:t>“Person” means an individual, a corporation, a limited liability company, an association, a partnership, an estate, a trust and any other entity or organization, other than the Company.</w:t>
      </w:r>
    </w:p>
    <w:p>
      <w:pPr>
        <w:spacing w:after="0" w:line="169" w:lineRule="exact"/>
        <w:rPr>
          <w:sz w:val="20"/>
          <w:szCs w:val="20"/>
          <w:color w:val="auto"/>
        </w:rPr>
      </w:pPr>
    </w:p>
    <w:p>
      <w:pPr>
        <w:jc w:val="both"/>
        <w:ind w:left="200" w:right="219" w:firstLine="9"/>
        <w:spacing w:after="0" w:line="277" w:lineRule="auto"/>
        <w:tabs>
          <w:tab w:leader="none" w:pos="543" w:val="left"/>
        </w:tabs>
        <w:numPr>
          <w:ilvl w:val="0"/>
          <w:numId w:val="36"/>
        </w:numPr>
        <w:rPr>
          <w:rFonts w:ascii="Arial" w:cs="Arial" w:eastAsia="Arial" w:hAnsi="Arial"/>
          <w:sz w:val="19"/>
          <w:szCs w:val="19"/>
          <w:color w:val="auto"/>
        </w:rPr>
      </w:pPr>
      <w:r>
        <w:rPr>
          <w:rFonts w:ascii="Arial" w:cs="Arial" w:eastAsia="Arial" w:hAnsi="Arial"/>
          <w:sz w:val="19"/>
          <w:szCs w:val="19"/>
          <w:b w:val="1"/>
          <w:bCs w:val="1"/>
          <w:color w:val="auto"/>
        </w:rPr>
        <w:t xml:space="preserve">Cooperation. </w:t>
      </w:r>
      <w:r>
        <w:rPr>
          <w:rFonts w:ascii="Arial" w:cs="Arial" w:eastAsia="Arial" w:hAnsi="Arial"/>
          <w:sz w:val="19"/>
          <w:szCs w:val="19"/>
          <w:color w:val="auto"/>
        </w:rPr>
        <w:t>Subject to the terms of this Agreement, in the event that any action, suit, claim,</w:t>
      </w:r>
      <w:r>
        <w:rPr>
          <w:rFonts w:ascii="Arial" w:cs="Arial" w:eastAsia="Arial" w:hAnsi="Arial"/>
          <w:sz w:val="19"/>
          <w:szCs w:val="19"/>
          <w:b w:val="1"/>
          <w:bCs w:val="1"/>
          <w:color w:val="auto"/>
        </w:rPr>
        <w:t xml:space="preserve"> </w:t>
      </w:r>
      <w:r>
        <w:rPr>
          <w:rFonts w:ascii="Arial" w:cs="Arial" w:eastAsia="Arial" w:hAnsi="Arial"/>
          <w:sz w:val="19"/>
          <w:szCs w:val="19"/>
          <w:color w:val="auto"/>
        </w:rPr>
        <w:t>hearing, proceeding, arbitration, mediation, audit, assessment, inquiry or investigation (whether civil, criminal, administrative or otherwise) (each, a “Proceeding”) is commenced by any governmental authority or other Person in connection with the Company or any of its affiliates during the term hereof or thereafter, Executive agrees to cooperate in good faith with the Company or any such affiliate to defend against such Proceeding and, if an injunction or other order is issued in any such Proceeding, to cooperate in good faith with the Company or any such affiliate in its efforts to have such injunction or other order lifted. Such cooperation shall include, but not be limited to, attending any telephone or in-person meetings, conferences, interviews, depositions, hearings, proceedings or preparation sessions, and providing access to any books and records in Executive’s control, in each case, at the request of the Company or any of its affiliates or any of their respective representatives.</w:t>
      </w:r>
    </w:p>
    <w:p>
      <w:pPr>
        <w:spacing w:after="0" w:line="182" w:lineRule="exact"/>
        <w:rPr>
          <w:rFonts w:ascii="Arial" w:cs="Arial" w:eastAsia="Arial" w:hAnsi="Arial"/>
          <w:sz w:val="19"/>
          <w:szCs w:val="19"/>
          <w:color w:val="auto"/>
        </w:rPr>
      </w:pPr>
    </w:p>
    <w:p>
      <w:pPr>
        <w:ind w:left="200" w:right="219" w:firstLine="9"/>
        <w:spacing w:after="0" w:line="309" w:lineRule="auto"/>
        <w:tabs>
          <w:tab w:leader="none" w:pos="516" w:val="left"/>
        </w:tabs>
        <w:numPr>
          <w:ilvl w:val="0"/>
          <w:numId w:val="36"/>
        </w:numPr>
        <w:rPr>
          <w:rFonts w:ascii="Arial" w:cs="Arial" w:eastAsia="Arial" w:hAnsi="Arial"/>
          <w:sz w:val="20"/>
          <w:szCs w:val="20"/>
          <w:color w:val="auto"/>
        </w:rPr>
      </w:pPr>
      <w:r>
        <w:rPr>
          <w:rFonts w:ascii="Arial" w:cs="Arial" w:eastAsia="Arial" w:hAnsi="Arial"/>
          <w:sz w:val="20"/>
          <w:szCs w:val="20"/>
          <w:b w:val="1"/>
          <w:bCs w:val="1"/>
          <w:color w:val="auto"/>
        </w:rPr>
        <w:t>Withholding</w:t>
      </w:r>
      <w:r>
        <w:rPr>
          <w:rFonts w:ascii="Arial" w:cs="Arial" w:eastAsia="Arial" w:hAnsi="Arial"/>
          <w:sz w:val="20"/>
          <w:szCs w:val="20"/>
          <w:color w:val="auto"/>
        </w:rPr>
        <w:t>. All payments made by the Company under this Agreement shall be reduced by any</w:t>
      </w:r>
      <w:r>
        <w:rPr>
          <w:rFonts w:ascii="Arial" w:cs="Arial" w:eastAsia="Arial" w:hAnsi="Arial"/>
          <w:sz w:val="20"/>
          <w:szCs w:val="20"/>
          <w:b w:val="1"/>
          <w:bCs w:val="1"/>
          <w:color w:val="auto"/>
        </w:rPr>
        <w:t xml:space="preserve"> </w:t>
      </w:r>
      <w:r>
        <w:rPr>
          <w:rFonts w:ascii="Arial" w:cs="Arial" w:eastAsia="Arial" w:hAnsi="Arial"/>
          <w:sz w:val="20"/>
          <w:szCs w:val="20"/>
          <w:color w:val="auto"/>
        </w:rPr>
        <w:t>tax or other amounts required to be withheld by the Company under applicable law.</w:t>
      </w:r>
    </w:p>
    <w:p>
      <w:pPr>
        <w:spacing w:after="0" w:line="150" w:lineRule="exact"/>
        <w:rPr>
          <w:rFonts w:ascii="Arial" w:cs="Arial" w:eastAsia="Arial" w:hAnsi="Arial"/>
          <w:sz w:val="20"/>
          <w:szCs w:val="20"/>
          <w:color w:val="auto"/>
        </w:rPr>
      </w:pPr>
    </w:p>
    <w:p>
      <w:pPr>
        <w:jc w:val="both"/>
        <w:ind w:left="200" w:right="219" w:firstLine="9"/>
        <w:spacing w:after="0" w:line="281" w:lineRule="auto"/>
        <w:tabs>
          <w:tab w:leader="none" w:pos="516" w:val="left"/>
        </w:tabs>
        <w:numPr>
          <w:ilvl w:val="0"/>
          <w:numId w:val="36"/>
        </w:numPr>
        <w:rPr>
          <w:rFonts w:ascii="Arial" w:cs="Arial" w:eastAsia="Arial" w:hAnsi="Arial"/>
          <w:sz w:val="19"/>
          <w:szCs w:val="19"/>
          <w:color w:val="auto"/>
        </w:rPr>
      </w:pPr>
      <w:r>
        <w:rPr>
          <w:rFonts w:ascii="Arial" w:cs="Arial" w:eastAsia="Arial" w:hAnsi="Arial"/>
          <w:sz w:val="19"/>
          <w:szCs w:val="19"/>
          <w:b w:val="1"/>
          <w:bCs w:val="1"/>
          <w:color w:val="auto"/>
        </w:rPr>
        <w:t>Assignment</w:t>
      </w:r>
      <w:r>
        <w:rPr>
          <w:rFonts w:ascii="Arial" w:cs="Arial" w:eastAsia="Arial" w:hAnsi="Arial"/>
          <w:sz w:val="19"/>
          <w:szCs w:val="19"/>
          <w:color w:val="auto"/>
        </w:rPr>
        <w:t>. Neither the Company nor Executive may make any assignment of this Agreement or</w:t>
      </w:r>
      <w:r>
        <w:rPr>
          <w:rFonts w:ascii="Arial" w:cs="Arial" w:eastAsia="Arial" w:hAnsi="Arial"/>
          <w:sz w:val="19"/>
          <w:szCs w:val="19"/>
          <w:b w:val="1"/>
          <w:bCs w:val="1"/>
          <w:color w:val="auto"/>
        </w:rPr>
        <w:t xml:space="preserve"> </w:t>
      </w:r>
      <w:r>
        <w:rPr>
          <w:rFonts w:ascii="Arial" w:cs="Arial" w:eastAsia="Arial" w:hAnsi="Arial"/>
          <w:sz w:val="19"/>
          <w:szCs w:val="19"/>
          <w:color w:val="auto"/>
        </w:rPr>
        <w:t>any interest herein, by operation of law or otherwise, without the prior written consent of the other; provided, however, that the Company may assign its rights and obligations under this Agreement without the consent of Executive in the event that the Company shall hereafter affect a reorganization, consolidate with, or merge into, any Person or transfer all or substantially all of its properties or assets to any Person. This Agreement shall inure to the benefit of and be binding upon the Company and Executive, their respective successors, executors, administrators, heirs and permitted assigns.</w:t>
      </w:r>
    </w:p>
    <w:p>
      <w:pPr>
        <w:spacing w:after="0" w:line="193" w:lineRule="exact"/>
        <w:rPr>
          <w:rFonts w:ascii="Arial" w:cs="Arial" w:eastAsia="Arial" w:hAnsi="Arial"/>
          <w:sz w:val="19"/>
          <w:szCs w:val="19"/>
          <w:color w:val="auto"/>
        </w:rPr>
      </w:pPr>
    </w:p>
    <w:p>
      <w:pPr>
        <w:jc w:val="both"/>
        <w:ind w:left="200" w:right="219" w:firstLine="9"/>
        <w:spacing w:after="0" w:line="284" w:lineRule="auto"/>
        <w:tabs>
          <w:tab w:leader="none" w:pos="516" w:val="left"/>
        </w:tabs>
        <w:numPr>
          <w:ilvl w:val="0"/>
          <w:numId w:val="36"/>
        </w:numPr>
        <w:rPr>
          <w:rFonts w:ascii="Arial" w:cs="Arial" w:eastAsia="Arial" w:hAnsi="Arial"/>
          <w:sz w:val="19"/>
          <w:szCs w:val="19"/>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If any portion or provision of this Agreement shall to any extent be declared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8" w:lineRule="exact"/>
        <w:rPr>
          <w:rFonts w:ascii="Arial" w:cs="Arial" w:eastAsia="Arial" w:hAnsi="Arial"/>
          <w:sz w:val="19"/>
          <w:szCs w:val="19"/>
          <w:color w:val="auto"/>
        </w:rPr>
      </w:pPr>
    </w:p>
    <w:p>
      <w:pPr>
        <w:jc w:val="both"/>
        <w:ind w:left="200" w:right="219" w:firstLine="9"/>
        <w:spacing w:after="0" w:line="290" w:lineRule="auto"/>
        <w:tabs>
          <w:tab w:leader="none" w:pos="516" w:val="left"/>
        </w:tabs>
        <w:numPr>
          <w:ilvl w:val="0"/>
          <w:numId w:val="36"/>
        </w:numPr>
        <w:rPr>
          <w:rFonts w:ascii="Arial" w:cs="Arial" w:eastAsia="Arial" w:hAnsi="Arial"/>
          <w:sz w:val="19"/>
          <w:szCs w:val="19"/>
          <w:color w:val="auto"/>
        </w:rPr>
      </w:pPr>
      <w:r>
        <w:rPr>
          <w:rFonts w:ascii="Arial" w:cs="Arial" w:eastAsia="Arial" w:hAnsi="Arial"/>
          <w:sz w:val="19"/>
          <w:szCs w:val="19"/>
          <w:b w:val="1"/>
          <w:bCs w:val="1"/>
          <w:color w:val="auto"/>
        </w:rPr>
        <w:t>Waiver</w:t>
      </w:r>
      <w:r>
        <w:rPr>
          <w:rFonts w:ascii="Arial" w:cs="Arial" w:eastAsia="Arial" w:hAnsi="Arial"/>
          <w:sz w:val="19"/>
          <w:szCs w:val="19"/>
          <w:color w:val="auto"/>
        </w:rPr>
        <w:t>. No waiver of any provision hereof shall be effective unless made in writing and signed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w:t>
      </w:r>
    </w:p>
    <w:p>
      <w:pPr>
        <w:spacing w:after="0" w:line="185" w:lineRule="exact"/>
        <w:rPr>
          <w:rFonts w:ascii="Arial" w:cs="Arial" w:eastAsia="Arial" w:hAnsi="Arial"/>
          <w:sz w:val="19"/>
          <w:szCs w:val="19"/>
          <w:color w:val="auto"/>
        </w:rPr>
      </w:pPr>
    </w:p>
    <w:p>
      <w:pPr>
        <w:jc w:val="both"/>
        <w:ind w:left="200" w:right="219" w:firstLine="9"/>
        <w:spacing w:after="0" w:line="274" w:lineRule="auto"/>
        <w:tabs>
          <w:tab w:leader="none" w:pos="530" w:val="left"/>
        </w:tabs>
        <w:numPr>
          <w:ilvl w:val="0"/>
          <w:numId w:val="36"/>
        </w:numPr>
        <w:rPr>
          <w:rFonts w:ascii="Arial" w:cs="Arial" w:eastAsia="Arial" w:hAnsi="Arial"/>
          <w:sz w:val="19"/>
          <w:szCs w:val="19"/>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and all notices, requests, demands and other communications provided for by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in writing and shall be effective when delivered in person, consigned to a reputable national delivery service or deposited in the United States mail, postage prepaid, registered or certified, and addressed to Executive at his last known address on the books of the Company or, in the case of the Company, at its principal place of business, attention of the General Counsel, or to such other address as either party may specify by notice to the other actually received.</w:t>
      </w:r>
    </w:p>
    <w:p>
      <w:pPr>
        <w:spacing w:after="0" w:line="2" w:lineRule="exact"/>
        <w:rPr>
          <w:rFonts w:ascii="Arial" w:cs="Arial" w:eastAsia="Arial" w:hAnsi="Arial"/>
          <w:sz w:val="19"/>
          <w:szCs w:val="19"/>
          <w:color w:val="auto"/>
        </w:rPr>
      </w:pPr>
    </w:p>
    <w:p>
      <w:pPr>
        <w:jc w:val="both"/>
        <w:ind w:left="200" w:right="219" w:firstLine="9"/>
        <w:spacing w:after="0" w:line="248" w:lineRule="auto"/>
        <w:tabs>
          <w:tab w:leader="none" w:pos="557" w:val="left"/>
        </w:tabs>
        <w:numPr>
          <w:ilvl w:val="0"/>
          <w:numId w:val="36"/>
        </w:numPr>
        <w:rPr>
          <w:rFonts w:ascii="Arial" w:cs="Arial" w:eastAsia="Arial" w:hAnsi="Arial"/>
          <w:sz w:val="21"/>
          <w:szCs w:val="2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constitutes the entire agreement between the parties and</w:t>
      </w:r>
      <w:r>
        <w:rPr>
          <w:rFonts w:ascii="Arial" w:cs="Arial" w:eastAsia="Arial" w:hAnsi="Arial"/>
          <w:sz w:val="21"/>
          <w:szCs w:val="21"/>
          <w:b w:val="1"/>
          <w:bCs w:val="1"/>
          <w:color w:val="auto"/>
        </w:rPr>
        <w:t xml:space="preserve"> </w:t>
      </w:r>
      <w:r>
        <w:rPr>
          <w:rFonts w:ascii="Arial" w:cs="Arial" w:eastAsia="Arial" w:hAnsi="Arial"/>
          <w:sz w:val="21"/>
          <w:szCs w:val="21"/>
          <w:color w:val="auto"/>
        </w:rPr>
        <w:t>supersedes all prior communications, agreements and understandings, written or oral, with respect to the terms and conditions of Executive’s employment.</w:t>
      </w:r>
    </w:p>
    <w:p>
      <w:pPr>
        <w:spacing w:after="0" w:line="209" w:lineRule="exact"/>
        <w:rPr>
          <w:rFonts w:ascii="Arial" w:cs="Arial" w:eastAsia="Arial" w:hAnsi="Arial"/>
          <w:sz w:val="21"/>
          <w:szCs w:val="21"/>
          <w:color w:val="auto"/>
        </w:rPr>
      </w:pPr>
    </w:p>
    <w:p>
      <w:pPr>
        <w:ind w:left="200" w:right="219" w:firstLine="9"/>
        <w:spacing w:after="0" w:line="283" w:lineRule="auto"/>
        <w:tabs>
          <w:tab w:leader="none" w:pos="516" w:val="left"/>
        </w:tabs>
        <w:numPr>
          <w:ilvl w:val="0"/>
          <w:numId w:val="36"/>
        </w:numPr>
        <w:rPr>
          <w:rFonts w:ascii="Arial" w:cs="Arial" w:eastAsia="Arial" w:hAnsi="Arial"/>
          <w:sz w:val="21"/>
          <w:szCs w:val="21"/>
          <w:color w:val="auto"/>
        </w:rPr>
      </w:pPr>
      <w:r>
        <w:rPr>
          <w:rFonts w:ascii="Arial" w:cs="Arial" w:eastAsia="Arial" w:hAnsi="Arial"/>
          <w:sz w:val="21"/>
          <w:szCs w:val="21"/>
          <w:b w:val="1"/>
          <w:bCs w:val="1"/>
          <w:color w:val="auto"/>
        </w:rPr>
        <w:t>Amendment</w:t>
      </w:r>
      <w:r>
        <w:rPr>
          <w:rFonts w:ascii="Arial" w:cs="Arial" w:eastAsia="Arial" w:hAnsi="Arial"/>
          <w:sz w:val="21"/>
          <w:szCs w:val="21"/>
          <w:color w:val="auto"/>
        </w:rPr>
        <w:t>. This Agreement may be amended or modified only by a written instrument signed by</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and by an expressly authorized representative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62230</wp:posOffset>
            </wp:positionV>
            <wp:extent cx="54521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8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10 | </w:t>
      </w:r>
      <w:r>
        <w:rPr>
          <w:rFonts w:ascii="Arial" w:cs="Arial" w:eastAsia="Arial" w:hAnsi="Arial"/>
          <w:sz w:val="20"/>
          <w:szCs w:val="20"/>
          <w:b w:val="1"/>
          <w:bCs w:val="1"/>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52" w:name="page53"/>
    <w:bookmarkEnd w:id="52"/>
    <w:p>
      <w:pPr>
        <w:ind w:left="200" w:right="219" w:firstLine="9"/>
        <w:spacing w:after="0" w:line="270" w:lineRule="auto"/>
        <w:tabs>
          <w:tab w:leader="none" w:pos="530" w:val="left"/>
        </w:tabs>
        <w:numPr>
          <w:ilvl w:val="0"/>
          <w:numId w:val="37"/>
        </w:numPr>
        <w:rPr>
          <w:rFonts w:ascii="Arial" w:cs="Arial" w:eastAsia="Arial" w:hAnsi="Arial"/>
          <w:sz w:val="21"/>
          <w:szCs w:val="21"/>
          <w:color w:val="auto"/>
        </w:rPr>
      </w:pPr>
      <w:r>
        <w:rPr>
          <w:rFonts w:ascii="Arial" w:cs="Arial" w:eastAsia="Arial" w:hAnsi="Arial"/>
          <w:sz w:val="21"/>
          <w:szCs w:val="21"/>
          <w:b w:val="1"/>
          <w:bCs w:val="1"/>
          <w:color w:val="auto"/>
        </w:rPr>
        <w:t>Headings</w:t>
      </w:r>
      <w:r>
        <w:rPr>
          <w:rFonts w:ascii="Arial" w:cs="Arial" w:eastAsia="Arial" w:hAnsi="Arial"/>
          <w:sz w:val="21"/>
          <w:szCs w:val="21"/>
          <w:color w:val="auto"/>
        </w:rPr>
        <w:t>. The headings and captions in this Agreement are for convenience only and in no way</w:t>
      </w:r>
      <w:r>
        <w:rPr>
          <w:rFonts w:ascii="Arial" w:cs="Arial" w:eastAsia="Arial" w:hAnsi="Arial"/>
          <w:sz w:val="21"/>
          <w:szCs w:val="21"/>
          <w:b w:val="1"/>
          <w:bCs w:val="1"/>
          <w:color w:val="auto"/>
        </w:rPr>
        <w:t xml:space="preserve"> </w:t>
      </w:r>
      <w:r>
        <w:rPr>
          <w:rFonts w:ascii="Arial" w:cs="Arial" w:eastAsia="Arial" w:hAnsi="Arial"/>
          <w:sz w:val="21"/>
          <w:szCs w:val="21"/>
          <w:color w:val="auto"/>
        </w:rPr>
        <w:t>define or describe the scope or content of any provision of this Agreement.</w:t>
      </w:r>
    </w:p>
    <w:p>
      <w:pPr>
        <w:spacing w:after="0" w:line="185" w:lineRule="exact"/>
        <w:rPr>
          <w:rFonts w:ascii="Arial" w:cs="Arial" w:eastAsia="Arial" w:hAnsi="Arial"/>
          <w:sz w:val="21"/>
          <w:szCs w:val="21"/>
          <w:color w:val="auto"/>
        </w:rPr>
      </w:pPr>
    </w:p>
    <w:p>
      <w:pPr>
        <w:ind w:left="200" w:right="219" w:firstLine="9"/>
        <w:spacing w:after="0" w:line="309" w:lineRule="auto"/>
        <w:tabs>
          <w:tab w:leader="none" w:pos="516" w:val="left"/>
        </w:tabs>
        <w:numPr>
          <w:ilvl w:val="0"/>
          <w:numId w:val="37"/>
        </w:numPr>
        <w:rPr>
          <w:rFonts w:ascii="Arial" w:cs="Arial" w:eastAsia="Arial" w:hAnsi="Arial"/>
          <w:sz w:val="20"/>
          <w:szCs w:val="20"/>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Agreement may be executed in two or more counterparts, each of which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an original and all of which together shall constitute one and the same instrument.</w:t>
      </w:r>
    </w:p>
    <w:p>
      <w:pPr>
        <w:spacing w:after="0" w:line="150" w:lineRule="exact"/>
        <w:rPr>
          <w:rFonts w:ascii="Arial" w:cs="Arial" w:eastAsia="Arial" w:hAnsi="Arial"/>
          <w:sz w:val="20"/>
          <w:szCs w:val="20"/>
          <w:color w:val="auto"/>
        </w:rPr>
      </w:pPr>
    </w:p>
    <w:p>
      <w:pPr>
        <w:jc w:val="both"/>
        <w:ind w:left="200" w:right="219" w:firstLine="9"/>
        <w:spacing w:after="0" w:line="262" w:lineRule="auto"/>
        <w:tabs>
          <w:tab w:leader="none" w:pos="530" w:val="left"/>
        </w:tabs>
        <w:numPr>
          <w:ilvl w:val="0"/>
          <w:numId w:val="37"/>
        </w:numPr>
        <w:rPr>
          <w:rFonts w:ascii="Arial" w:cs="Arial" w:eastAsia="Arial" w:hAnsi="Arial"/>
          <w:sz w:val="21"/>
          <w:szCs w:val="21"/>
          <w:color w:val="auto"/>
        </w:rPr>
      </w:pPr>
      <w:r>
        <w:rPr>
          <w:rFonts w:ascii="Arial" w:cs="Arial" w:eastAsia="Arial" w:hAnsi="Arial"/>
          <w:sz w:val="21"/>
          <w:szCs w:val="21"/>
          <w:b w:val="1"/>
          <w:bCs w:val="1"/>
          <w:color w:val="auto"/>
        </w:rPr>
        <w:t>Governing Law</w:t>
      </w:r>
      <w:r>
        <w:rPr>
          <w:rFonts w:ascii="Arial" w:cs="Arial" w:eastAsia="Arial" w:hAnsi="Arial"/>
          <w:sz w:val="21"/>
          <w:szCs w:val="21"/>
          <w:color w:val="auto"/>
        </w:rPr>
        <w:t>. This is a Delaware contract and shall be construed and enforced under and be</w:t>
      </w:r>
      <w:r>
        <w:rPr>
          <w:rFonts w:ascii="Arial" w:cs="Arial" w:eastAsia="Arial" w:hAnsi="Arial"/>
          <w:sz w:val="21"/>
          <w:szCs w:val="21"/>
          <w:b w:val="1"/>
          <w:bCs w:val="1"/>
          <w:color w:val="auto"/>
        </w:rPr>
        <w:t xml:space="preserve"> </w:t>
      </w:r>
      <w:r>
        <w:rPr>
          <w:rFonts w:ascii="Arial" w:cs="Arial" w:eastAsia="Arial" w:hAnsi="Arial"/>
          <w:sz w:val="21"/>
          <w:szCs w:val="21"/>
          <w:color w:val="auto"/>
        </w:rPr>
        <w:t>governed in all respects by the laws of the State of Delaware, without regard to the conflict of laws principles thereof.</w:t>
      </w:r>
    </w:p>
    <w:p>
      <w:pPr>
        <w:spacing w:after="0" w:line="208" w:lineRule="exact"/>
        <w:rPr>
          <w:rFonts w:ascii="Arial" w:cs="Arial" w:eastAsia="Arial" w:hAnsi="Arial"/>
          <w:sz w:val="21"/>
          <w:szCs w:val="21"/>
          <w:color w:val="auto"/>
        </w:rPr>
      </w:pPr>
    </w:p>
    <w:p>
      <w:pPr>
        <w:jc w:val="both"/>
        <w:ind w:left="200" w:right="219" w:firstLine="9"/>
        <w:spacing w:after="0" w:line="288" w:lineRule="auto"/>
        <w:tabs>
          <w:tab w:leader="none" w:pos="516"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Consent to Jurisdiction</w:t>
      </w:r>
      <w:r>
        <w:rPr>
          <w:rFonts w:ascii="Arial" w:cs="Arial" w:eastAsia="Arial" w:hAnsi="Arial"/>
          <w:sz w:val="18"/>
          <w:szCs w:val="18"/>
          <w:color w:val="auto"/>
        </w:rPr>
        <w:t>. Each of the parties agrees that all actions, suits or proceedings arising 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or based upon this Agreement or the subject matter hereof shall be brought and maintained in any state or federal court in or of the State of Delaware; provided, however, that the Company also may bring any such action, suit or proceeding against Executive in any other jurisdiction in which Executive is subject to personal jurisdiction. Each of the parties hereto by execution hereof (i) hereby irrevocably submits to such jurisdiction for the purpose of any action, suit or proceeding arising out of or based upon this Agreement or the subject matter hereof and (ii) hereby waives to the extent not prohibited by applicable law, and agrees not to assert, by way of motion, as a defense or otherwise, in any such action, suit or proceeding, any claim that he or it is not subject personally to the jurisdiction of the above-named courts; that he or it is immune from extraterritorial injunctive relief or other injunctive relief; that his or its property is exempt or immune from attachment or execution; that any such action, suit or proceeding may not be brought or maintained in one of the above-named courts; that any such action, suit or proceeding brought or maintained in one of the above-named courts should be dismissed on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should be transferred to any court other than one of the above-named courts, should be stayed by virtue of the pendency of any other action, suit or proceeding in any court other than one of the above-named courts, or that this Agreement or the subject matter hereof may not be enforced in or by any of the above-named courts. Each of the parties hereto hereby consents to service of process in any such suit, action or proceeding in any manner permitted by the laws of the State of Delaware or such other jurisdiction in which the Company may bring an action hereunder; agrees that service of process by registered or certified mail, return receipt requested, at the address specified in or pursuant to Section 18 is reasonably calculated to give actual notice; and waives and agrees not to assert by way of motion, as a defense or otherwise, in any such action, suit or proceeding any claim that service of process made in accordance with Section 18 does not constitute good and sufficient service of process. The provisions of this Section 24 shall not restrict the ability of any party to enforce in any court any judgment obtained in a federal or state court of the State of Delaware.</w:t>
      </w:r>
    </w:p>
    <w:p>
      <w:pPr>
        <w:spacing w:after="0" w:line="200" w:lineRule="exact"/>
        <w:rPr>
          <w:sz w:val="20"/>
          <w:szCs w:val="20"/>
          <w:color w:val="auto"/>
        </w:rPr>
      </w:pPr>
    </w:p>
    <w:p>
      <w:pPr>
        <w:spacing w:after="0" w:line="246" w:lineRule="exact"/>
        <w:rPr>
          <w:sz w:val="20"/>
          <w:szCs w:val="20"/>
          <w:color w:val="auto"/>
        </w:rPr>
      </w:pPr>
    </w:p>
    <w:p>
      <w:pPr>
        <w:ind w:left="200" w:right="219"/>
        <w:spacing w:after="0" w:line="323"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this Agreement has been executed as a sealed instrument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by its duly authorized representative, and by Executive, as of the date first above written.</w:t>
      </w:r>
    </w:p>
    <w:p>
      <w:pPr>
        <w:spacing w:after="0" w:line="181" w:lineRule="exact"/>
        <w:rPr>
          <w:sz w:val="20"/>
          <w:szCs w:val="20"/>
          <w:color w:val="auto"/>
        </w:rPr>
      </w:pPr>
    </w:p>
    <w:p>
      <w:pPr>
        <w:ind w:left="200"/>
        <w:spacing w:after="0"/>
        <w:tabs>
          <w:tab w:leader="none" w:pos="4520" w:val="left"/>
        </w:tabs>
        <w:rPr>
          <w:sz w:val="20"/>
          <w:szCs w:val="20"/>
          <w:color w:val="auto"/>
        </w:rPr>
      </w:pPr>
      <w:r>
        <w:rPr>
          <w:rFonts w:ascii="Arial" w:cs="Arial" w:eastAsia="Arial" w:hAnsi="Arial"/>
          <w:sz w:val="21"/>
          <w:szCs w:val="21"/>
          <w:b w:val="1"/>
          <w:bCs w:val="1"/>
          <w:color w:val="auto"/>
        </w:rPr>
        <w:t>NRx Pharmaceuticals, Inc.</w:t>
      </w:r>
      <w:r>
        <w:rPr>
          <w:sz w:val="20"/>
          <w:szCs w:val="20"/>
          <w:color w:val="auto"/>
        </w:rPr>
        <w:tab/>
      </w: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175895</wp:posOffset>
            </wp:positionV>
            <wp:extent cx="822960" cy="411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2960" cy="411480"/>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175895</wp:posOffset>
            </wp:positionV>
            <wp:extent cx="1337310"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373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tabs>
          <w:tab w:leader="none" w:pos="5160" w:val="left"/>
        </w:tabs>
        <w:rPr>
          <w:sz w:val="20"/>
          <w:szCs w:val="20"/>
          <w:color w:val="auto"/>
        </w:rPr>
      </w:pPr>
      <w:r>
        <w:rPr>
          <w:rFonts w:ascii="Arial" w:cs="Arial" w:eastAsia="Arial" w:hAnsi="Arial"/>
          <w:sz w:val="21"/>
          <w:szCs w:val="21"/>
          <w:color w:val="auto"/>
        </w:rPr>
        <w:t>By: _________________________</w:t>
      </w:r>
      <w:r>
        <w:rPr>
          <w:sz w:val="20"/>
          <w:szCs w:val="20"/>
          <w:color w:val="auto"/>
        </w:rPr>
        <w:tab/>
      </w:r>
      <w:r>
        <w:rPr>
          <w:rFonts w:ascii="Arial" w:cs="Arial" w:eastAsia="Arial" w:hAnsi="Arial"/>
          <w:sz w:val="19"/>
          <w:szCs w:val="19"/>
          <w:color w:val="auto"/>
        </w:rPr>
        <w:t>By: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112395</wp:posOffset>
            </wp:positionV>
            <wp:extent cx="54521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 xml:space="preserve">11 | </w:t>
      </w:r>
      <w:r>
        <w:rPr>
          <w:rFonts w:ascii="Arial" w:cs="Arial" w:eastAsia="Arial" w:hAnsi="Arial"/>
          <w:sz w:val="20"/>
          <w:szCs w:val="20"/>
          <w:b w:val="1"/>
          <w:bCs w:val="1"/>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46"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auto"/>
        </w:rPr>
        <w:t>Exhibit 31.1</w:t>
      </w:r>
    </w:p>
    <w:p>
      <w:pPr>
        <w:spacing w:after="0" w:line="262" w:lineRule="exact"/>
        <w:rPr>
          <w:sz w:val="20"/>
          <w:szCs w:val="20"/>
          <w:color w:val="auto"/>
        </w:rPr>
      </w:pPr>
    </w:p>
    <w:p>
      <w:pPr>
        <w:jc w:val="center"/>
        <w:spacing w:after="0" w:line="281" w:lineRule="auto"/>
        <w:rPr>
          <w:sz w:val="20"/>
          <w:szCs w:val="20"/>
          <w:color w:val="auto"/>
        </w:rPr>
      </w:pPr>
      <w:r>
        <w:rPr>
          <w:rFonts w:ascii="Arial" w:cs="Arial" w:eastAsia="Arial" w:hAnsi="Arial"/>
          <w:sz w:val="16"/>
          <w:szCs w:val="16"/>
          <w:b w:val="1"/>
          <w:bCs w:val="1"/>
          <w:color w:val="auto"/>
        </w:rPr>
        <w:t>CERTIFICATION OF THE CHIEF EXECUTIVE OFFICER PURSUANT TO RULE 13a-14(a) AND 15d-14(a), 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Stephen H. Willard, Chief Executive Officer of NRx Pharmaceuticals, Inc., certify that:</w:t>
      </w:r>
    </w:p>
    <w:p>
      <w:pPr>
        <w:spacing w:after="0" w:line="26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NRx Pharmaceuticals, Inc. (the “Registrant”);</w:t>
      </w:r>
    </w:p>
    <w:p>
      <w:pPr>
        <w:spacing w:after="0" w:line="261" w:lineRule="exact"/>
        <w:rPr>
          <w:rFonts w:ascii="Arial" w:cs="Arial" w:eastAsia="Arial" w:hAnsi="Arial"/>
          <w:sz w:val="16"/>
          <w:szCs w:val="16"/>
          <w:color w:val="auto"/>
        </w:rPr>
      </w:pPr>
    </w:p>
    <w:p>
      <w:pPr>
        <w:jc w:val="both"/>
        <w:ind w:left="340" w:right="160" w:hanging="332"/>
        <w:spacing w:after="0" w:line="278"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1" w:lineRule="exact"/>
        <w:rPr>
          <w:rFonts w:ascii="Arial" w:cs="Arial" w:eastAsia="Arial" w:hAnsi="Arial"/>
          <w:sz w:val="16"/>
          <w:szCs w:val="16"/>
          <w:color w:val="auto"/>
        </w:rPr>
      </w:pPr>
    </w:p>
    <w:p>
      <w:pPr>
        <w:ind w:left="340" w:right="140" w:hanging="332"/>
        <w:spacing w:after="0" w:line="328" w:lineRule="auto"/>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76" w:lineRule="exact"/>
        <w:rPr>
          <w:rFonts w:ascii="Arial" w:cs="Arial" w:eastAsia="Arial" w:hAnsi="Arial"/>
          <w:sz w:val="15"/>
          <w:szCs w:val="15"/>
          <w:color w:val="auto"/>
        </w:rPr>
      </w:pPr>
    </w:p>
    <w:p>
      <w:pPr>
        <w:ind w:left="340" w:right="160" w:hanging="332"/>
        <w:spacing w:after="0" w:line="278"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11"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980" w:right="160" w:hanging="324"/>
        <w:spacing w:after="0" w:line="369" w:lineRule="auto"/>
        <w:tabs>
          <w:tab w:leader="none" w:pos="9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ind w:left="980" w:right="80" w:hanging="324"/>
        <w:spacing w:after="0" w:line="278"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76" w:lineRule="exact"/>
        <w:rPr>
          <w:rFonts w:ascii="Arial" w:cs="Arial" w:eastAsia="Arial" w:hAnsi="Arial"/>
          <w:sz w:val="15"/>
          <w:szCs w:val="15"/>
          <w:color w:val="auto"/>
        </w:rPr>
      </w:pPr>
    </w:p>
    <w:p>
      <w:pPr>
        <w:ind w:left="980" w:right="400" w:hanging="324"/>
        <w:spacing w:after="0" w:line="369" w:lineRule="auto"/>
        <w:tabs>
          <w:tab w:leader="none" w:pos="9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980" w:right="60" w:hanging="324"/>
        <w:spacing w:after="0" w:line="293"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40"/>
              <w:spacing w:after="0"/>
              <w:rPr>
                <w:sz w:val="20"/>
                <w:szCs w:val="20"/>
                <w:color w:val="auto"/>
              </w:rPr>
            </w:pPr>
            <w:r>
              <w:rPr>
                <w:rFonts w:ascii="Arial" w:cs="Arial" w:eastAsia="Arial" w:hAnsi="Arial"/>
                <w:sz w:val="18"/>
                <w:szCs w:val="18"/>
                <w:color w:val="auto"/>
              </w:rPr>
              <w:t>Date: November 14,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H. Willard</w:t>
            </w:r>
          </w:p>
        </w:tc>
      </w:tr>
      <w:tr>
        <w:trPr>
          <w:trHeight w:val="213"/>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Stephen H. Willard</w:t>
            </w:r>
          </w:p>
        </w:tc>
      </w:tr>
      <w:tr>
        <w:trPr>
          <w:trHeight w:val="206"/>
        </w:trPr>
        <w:tc>
          <w:tcPr>
            <w:tcW w:w="496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Chief Executive Officer (Principal Executive Officer)</w:t>
            </w:r>
          </w:p>
        </w:tc>
      </w:tr>
      <w:tr>
        <w:trPr>
          <w:trHeight w:val="78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auto"/>
        </w:rPr>
        <w:t>Exhibit 31.2</w:t>
      </w:r>
    </w:p>
    <w:p>
      <w:pPr>
        <w:spacing w:after="0" w:line="262" w:lineRule="exact"/>
        <w:rPr>
          <w:sz w:val="20"/>
          <w:szCs w:val="20"/>
          <w:color w:val="auto"/>
        </w:rPr>
      </w:pPr>
    </w:p>
    <w:p>
      <w:pPr>
        <w:jc w:val="center"/>
        <w:spacing w:after="0" w:line="281" w:lineRule="auto"/>
        <w:rPr>
          <w:sz w:val="20"/>
          <w:szCs w:val="20"/>
          <w:color w:val="auto"/>
        </w:rPr>
      </w:pPr>
      <w:r>
        <w:rPr>
          <w:rFonts w:ascii="Arial" w:cs="Arial" w:eastAsia="Arial" w:hAnsi="Arial"/>
          <w:sz w:val="16"/>
          <w:szCs w:val="16"/>
          <w:b w:val="1"/>
          <w:bCs w:val="1"/>
          <w:color w:val="auto"/>
        </w:rPr>
        <w:t>CERTIFICATION OF THE ACTING CHIEF FINANCIAL OFFICER PURSUANT TO RULE 13a-14(a) AND 15d-14(a), 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Seth Van Voorhees, Chief Financial Officer of NRx Pharmaceuticals, Inc., certify that:</w:t>
      </w:r>
    </w:p>
    <w:p>
      <w:pPr>
        <w:spacing w:after="0" w:line="262"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NRx Pharmaceuticals, Inc. (the “Registrant”);</w:t>
      </w:r>
    </w:p>
    <w:p>
      <w:pPr>
        <w:spacing w:after="0" w:line="261" w:lineRule="exact"/>
        <w:rPr>
          <w:rFonts w:ascii="Arial" w:cs="Arial" w:eastAsia="Arial" w:hAnsi="Arial"/>
          <w:sz w:val="16"/>
          <w:szCs w:val="16"/>
          <w:color w:val="auto"/>
        </w:rPr>
      </w:pPr>
    </w:p>
    <w:p>
      <w:pPr>
        <w:jc w:val="both"/>
        <w:ind w:left="340" w:right="160" w:hanging="332"/>
        <w:spacing w:after="0" w:line="278"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1" w:lineRule="exact"/>
        <w:rPr>
          <w:rFonts w:ascii="Arial" w:cs="Arial" w:eastAsia="Arial" w:hAnsi="Arial"/>
          <w:sz w:val="16"/>
          <w:szCs w:val="16"/>
          <w:color w:val="auto"/>
        </w:rPr>
      </w:pPr>
    </w:p>
    <w:p>
      <w:pPr>
        <w:ind w:left="340" w:right="140" w:hanging="332"/>
        <w:spacing w:after="0" w:line="328" w:lineRule="auto"/>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76" w:lineRule="exact"/>
        <w:rPr>
          <w:rFonts w:ascii="Arial" w:cs="Arial" w:eastAsia="Arial" w:hAnsi="Arial"/>
          <w:sz w:val="15"/>
          <w:szCs w:val="15"/>
          <w:color w:val="auto"/>
        </w:rPr>
      </w:pPr>
    </w:p>
    <w:p>
      <w:pPr>
        <w:ind w:left="340" w:right="160" w:hanging="332"/>
        <w:spacing w:after="0" w:line="278"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11"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980" w:right="160" w:hanging="324"/>
        <w:spacing w:after="0" w:line="369" w:lineRule="auto"/>
        <w:tabs>
          <w:tab w:leader="none" w:pos="980" w:val="left"/>
        </w:tabs>
        <w:numPr>
          <w:ilvl w:val="1"/>
          <w:numId w:val="3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ind w:left="980" w:right="80" w:hanging="324"/>
        <w:spacing w:after="0" w:line="278" w:lineRule="auto"/>
        <w:tabs>
          <w:tab w:leader="none" w:pos="9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76" w:lineRule="exact"/>
        <w:rPr>
          <w:rFonts w:ascii="Arial" w:cs="Arial" w:eastAsia="Arial" w:hAnsi="Arial"/>
          <w:sz w:val="15"/>
          <w:szCs w:val="15"/>
          <w:color w:val="auto"/>
        </w:rPr>
      </w:pPr>
    </w:p>
    <w:p>
      <w:pPr>
        <w:ind w:left="980" w:right="400" w:hanging="324"/>
        <w:spacing w:after="0" w:line="369" w:lineRule="auto"/>
        <w:tabs>
          <w:tab w:leader="none" w:pos="980" w:val="left"/>
        </w:tabs>
        <w:numPr>
          <w:ilvl w:val="1"/>
          <w:numId w:val="3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980" w:right="60" w:hanging="324"/>
        <w:spacing w:after="0" w:line="293" w:lineRule="auto"/>
        <w:tabs>
          <w:tab w:leader="none" w:pos="9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40"/>
              <w:spacing w:after="0"/>
              <w:rPr>
                <w:sz w:val="20"/>
                <w:szCs w:val="20"/>
                <w:color w:val="auto"/>
              </w:rPr>
            </w:pPr>
            <w:r>
              <w:rPr>
                <w:rFonts w:ascii="Arial" w:cs="Arial" w:eastAsia="Arial" w:hAnsi="Arial"/>
                <w:sz w:val="18"/>
                <w:szCs w:val="18"/>
                <w:color w:val="auto"/>
              </w:rPr>
              <w:t>Date: November 14,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Van Voorhees</w:t>
            </w:r>
          </w:p>
        </w:tc>
      </w:tr>
      <w:tr>
        <w:trPr>
          <w:trHeight w:val="213"/>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Seth Van Voorhees</w:t>
            </w:r>
          </w:p>
        </w:tc>
      </w:tr>
      <w:tr>
        <w:trPr>
          <w:trHeight w:val="206"/>
        </w:trPr>
        <w:tc>
          <w:tcPr>
            <w:tcW w:w="496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Chief Financial Officer (Principal Financial Officer)</w:t>
            </w:r>
          </w:p>
        </w:tc>
      </w:tr>
      <w:tr>
        <w:trPr>
          <w:trHeight w:val="78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32.1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EXECUTIVE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5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 connection with the filing of the Quarterly Report on Form 10-Q for the three months ended September 30, 2022 (the “Report”) by NRx Pharmaceuticals, Inc. (the “Registrant”), I, Stephen H. Willard, as Chief Executive Officer of the Registrant hereby certify pursuant to 18 U.S.C. Section 1350, as adopted pursuant to Section 906 of the Sarbanes-Oxley Act of 2002, that, to the best of my knowledge:</w:t>
      </w:r>
    </w:p>
    <w:p>
      <w:pPr>
        <w:spacing w:after="0" w:line="21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Section 15(d) of the Securities Exchange Act of 1934, as amended; and</w:t>
      </w:r>
    </w:p>
    <w:p>
      <w:pPr>
        <w:spacing w:after="0" w:line="273" w:lineRule="exact"/>
        <w:rPr>
          <w:rFonts w:ascii="Arial" w:cs="Arial" w:eastAsia="Arial" w:hAnsi="Arial"/>
          <w:sz w:val="15"/>
          <w:szCs w:val="15"/>
          <w:color w:val="auto"/>
        </w:rPr>
      </w:pPr>
    </w:p>
    <w:p>
      <w:pPr>
        <w:ind w:left="660" w:right="620" w:hanging="328"/>
        <w:spacing w:after="0" w:line="293"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November 14,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H. Willard</w:t>
            </w:r>
          </w:p>
        </w:tc>
      </w:tr>
      <w:tr>
        <w:trPr>
          <w:trHeight w:val="195"/>
        </w:trPr>
        <w:tc>
          <w:tcPr>
            <w:tcW w:w="492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Stephen H. Willard</w:t>
            </w:r>
          </w:p>
        </w:tc>
      </w:tr>
      <w:tr>
        <w:trPr>
          <w:trHeight w:val="230"/>
        </w:trPr>
        <w:tc>
          <w:tcPr>
            <w:tcW w:w="49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317500</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32.2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ACTING CHIEF FINANCIAL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58"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 connection with the filing of the Quarterly Report on Form 10-Q for the three months ended September 30, 2022 (the “Report”) by NRx Pharmaceuticals, Inc. (the “Registrant”), I, Seth Van Voorhees, as Chief Financial Officer of the Registrant hereby certify pursuant to 18 U.S.C. Section 1350, as adopted pursuant to Section 906 of the Sarbanes-Oxley Act of 2002, that, to the best of my knowledge:</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1.the Report fully complies with the requirements of Section 13(a) or Section 15(d) of the Securities Exchange Act of 1934, as amended; and</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2.the information contained in the Report fairly presents, in all material respects, the financial condition and results of operations of the Registrant.</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November 14,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Van Voorhees</w:t>
            </w:r>
          </w:p>
        </w:tc>
      </w:tr>
      <w:tr>
        <w:trPr>
          <w:trHeight w:val="195"/>
        </w:trPr>
        <w:tc>
          <w:tcPr>
            <w:tcW w:w="492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Seth Van Voorhees</w:t>
            </w:r>
          </w:p>
        </w:tc>
      </w:tr>
      <w:tr>
        <w:trPr>
          <w:trHeight w:val="230"/>
        </w:trPr>
        <w:tc>
          <w:tcPr>
            <w:tcW w:w="49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lvl w:ilvl="1">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lowerRoman"/>
      <w:start w:val="10"/>
    </w:lvl>
  </w:abstractNum>
  <w:abstractNum w:abstractNumId="8">
    <w:nsid w:val="8EDBDAB"/>
    <w:multiLevelType w:val="hybridMultilevel"/>
    <w:lvl w:ilvl="0">
      <w:lvlJc w:val="left"/>
      <w:lvlText w:val="+"/>
      <w:numFmt w:val="bullet"/>
      <w:start w:val="1"/>
    </w:lvl>
    <w:lvl w:ilvl="1">
      <w:lvlJc w:val="left"/>
      <w:lvlText w:val="%2"/>
      <w:numFmt w:val="decimal"/>
      <w:start w:val="104"/>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lowerLetter"/>
      <w:start w:val="4"/>
    </w:lvl>
  </w:abstractNum>
  <w:abstractNum w:abstractNumId="13">
    <w:nsid w:val="54E49EB4"/>
    <w:multiLevelType w:val="hybridMultilevel"/>
    <w:lvl w:ilvl="0">
      <w:lvlJc w:val="left"/>
      <w:lvlText w:val="%1."/>
      <w:numFmt w:val="decimal"/>
      <w:start w:val="4"/>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decimal"/>
      <w:start w:val="5"/>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Roman"/>
      <w:start w:val="1"/>
    </w:lvl>
  </w:abstractNum>
  <w:abstractNum w:abstractNumId="18">
    <w:nsid w:val="3A95F874"/>
    <w:multiLevelType w:val="hybridMultilevel"/>
    <w:lvl w:ilvl="0">
      <w:lvlJc w:val="left"/>
      <w:lvlText w:val="(%1)"/>
      <w:numFmt w:val="lowerLetter"/>
      <w:start w:val="3"/>
    </w:lvl>
  </w:abstractNum>
  <w:abstractNum w:abstractNumId="19">
    <w:nsid w:val="8138641"/>
    <w:multiLevelType w:val="hybridMultilevel"/>
    <w:lvl w:ilvl="0">
      <w:lvlJc w:val="left"/>
      <w:lvlText w:val="(%1)"/>
      <w:numFmt w:val="lowerRoman"/>
      <w:start w:val="1"/>
    </w:lvl>
  </w:abstractNum>
  <w:abstractNum w:abstractNumId="20">
    <w:nsid w:val="1E7FF521"/>
    <w:multiLevelType w:val="hybridMultilevel"/>
    <w:lvl w:ilvl="0">
      <w:lvlJc w:val="left"/>
      <w:lvlText w:val="(%1)"/>
      <w:numFmt w:val="lowerLetter"/>
      <w:start w:val="4"/>
    </w:lvl>
  </w:abstractNum>
  <w:abstractNum w:abstractNumId="21">
    <w:nsid w:val="7C3DBD3D"/>
    <w:multiLevelType w:val="hybridMultilevel"/>
    <w:lvl w:ilvl="0">
      <w:lvlJc w:val="left"/>
      <w:lvlText w:val="%1."/>
      <w:numFmt w:val="decimal"/>
      <w:start w:val="6"/>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decimal"/>
      <w:start w:val="7"/>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decimal"/>
      <w:start w:val="8"/>
    </w:lvl>
    <w:lvl w:ilvl="1">
      <w:lvlJc w:val="left"/>
      <w:lvlText w:val="(%2)"/>
      <w:numFmt w:val="lowerLetter"/>
      <w:start w:val="1"/>
    </w:lvl>
  </w:abstractNum>
  <w:abstractNum w:abstractNumId="26">
    <w:nsid w:val="3006C83E"/>
    <w:multiLevelType w:val="hybridMultilevel"/>
    <w:lvl w:ilvl="0">
      <w:lvlJc w:val="left"/>
      <w:lvlText w:val="%1"/>
      <w:numFmt w:val="lowerLetter"/>
      <w:start w:val="1"/>
    </w:lvl>
    <w:lvl w:ilvl="1">
      <w:lvlJc w:val="left"/>
      <w:lvlText w:val="(%2)"/>
      <w:numFmt w:val="lowerRoman"/>
      <w:start w:val="1"/>
    </w:lvl>
  </w:abstractNum>
  <w:abstractNum w:abstractNumId="27">
    <w:nsid w:val="614FD4A1"/>
    <w:multiLevelType w:val="hybridMultilevel"/>
    <w:lvl w:ilvl="0">
      <w:lvlJc w:val="left"/>
      <w:lvlText w:val="(%1)"/>
      <w:numFmt w:val="lowerLetter"/>
      <w:start w:val="2"/>
    </w:lvl>
    <w:lvl w:ilvl="1">
      <w:lvlJc w:val="left"/>
      <w:lvlText w:val="%2"/>
      <w:numFmt w:val="lowerRoman"/>
      <w:start w:val="1"/>
    </w:lvl>
  </w:abstractNum>
  <w:abstractNum w:abstractNumId="28">
    <w:nsid w:val="419AC241"/>
    <w:multiLevelType w:val="hybridMultilevel"/>
    <w:lvl w:ilvl="0">
      <w:lvlJc w:val="left"/>
      <w:lvlText w:val="%1"/>
      <w:numFmt w:val="decimal"/>
      <w:start w:val="1"/>
    </w:lvl>
    <w:lvl w:ilvl="1">
      <w:lvlJc w:val="left"/>
      <w:lvlText w:val="(%2)"/>
      <w:numFmt w:val="lowerLetter"/>
      <w:start w:val="7"/>
    </w:lvl>
  </w:abstractNum>
  <w:abstractNum w:abstractNumId="29">
    <w:nsid w:val="5577F8E1"/>
    <w:multiLevelType w:val="hybridMultilevel"/>
    <w:lvl w:ilvl="0">
      <w:lvlJc w:val="left"/>
      <w:lvlText w:val="%1."/>
      <w:numFmt w:val="decimal"/>
      <w:start w:val="10"/>
    </w:lvl>
    <w:lvl w:ilvl="1">
      <w:lvlJc w:val="left"/>
      <w:lvlText w:val="%2"/>
      <w:numFmt w:val="lowerLetter"/>
      <w:start w:val="1"/>
    </w:lvl>
  </w:abstractNum>
  <w:abstractNum w:abstractNumId="30">
    <w:nsid w:val="440BADFC"/>
    <w:multiLevelType w:val="hybridMultilevel"/>
    <w:lvl w:ilvl="0">
      <w:lvlJc w:val="left"/>
      <w:lvlText w:val="%1."/>
      <w:numFmt w:val="decimal"/>
      <w:start w:val="13"/>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61"/>
    </w:lvl>
  </w:abstractNum>
  <w:abstractNum w:abstractNumId="33">
    <w:nsid w:val="77465F01"/>
    <w:multiLevelType w:val="hybridMultilevel"/>
    <w:lvl w:ilvl="0">
      <w:lvlJc w:val="left"/>
      <w:lvlText w:val="(%1)"/>
      <w:numFmt w:val="lowerLetter"/>
      <w:start w:val="3"/>
    </w:lvl>
  </w:abstractNum>
  <w:abstractNum w:abstractNumId="34">
    <w:nsid w:val="7724C67E"/>
    <w:multiLevelType w:val="hybridMultilevel"/>
    <w:lvl w:ilvl="0">
      <w:lvlJc w:val="left"/>
      <w:lvlText w:val="(%1)"/>
      <w:numFmt w:val="lowerLetter"/>
      <w:start w:val="4"/>
    </w:lvl>
  </w:abstractNum>
  <w:abstractNum w:abstractNumId="35">
    <w:nsid w:val="5C482A97"/>
    <w:multiLevelType w:val="hybridMultilevel"/>
    <w:lvl w:ilvl="0">
      <w:lvlJc w:val="left"/>
      <w:lvlText w:val="%1."/>
      <w:numFmt w:val="decimal"/>
      <w:start w:val="13"/>
    </w:lvl>
  </w:abstractNum>
  <w:abstractNum w:abstractNumId="36">
    <w:nsid w:val="2463B9EA"/>
    <w:multiLevelType w:val="hybridMultilevel"/>
    <w:lvl w:ilvl="0">
      <w:lvlJc w:val="left"/>
      <w:lvlText w:val="%1."/>
      <w:numFmt w:val="decimal"/>
      <w:start w:val="2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2022-11-15T00:46:10Z</dcterms:created>
  <dcterms:modified xsi:type="dcterms:W3CDTF">2022-11-15T00:46:10Z</dcterms:modified>
</cp:coreProperties>
</file>