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40" w:right="2080" w:hanging="3832"/>
        <w:spacing w:after="0" w:line="504"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001-38302</w:t>
      </w:r>
    </w:p>
    <w:p>
      <w:pPr>
        <w:spacing w:after="0" w:line="22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237"/>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740" w:type="dxa"/>
            <w:vAlign w:val="bottom"/>
            <w:gridSpan w:val="2"/>
          </w:tcPr>
          <w:p>
            <w:pPr>
              <w:jc w:val="right"/>
              <w:ind w:right="1272"/>
              <w:spacing w:after="0"/>
              <w:rPr>
                <w:sz w:val="20"/>
                <w:szCs w:val="20"/>
                <w:color w:val="auto"/>
              </w:rPr>
            </w:pPr>
            <w:r>
              <w:rPr>
                <w:rFonts w:ascii="Arial" w:cs="Arial" w:eastAsia="Arial" w:hAnsi="Arial"/>
                <w:sz w:val="18"/>
                <w:szCs w:val="18"/>
                <w:b w:val="1"/>
                <w:bCs w:val="1"/>
                <w:color w:val="auto"/>
              </w:rPr>
              <w:t>82-2844431</w:t>
            </w:r>
          </w:p>
        </w:tc>
      </w:tr>
      <w:tr>
        <w:trPr>
          <w:trHeight w:val="208"/>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18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Number)</w:t>
            </w:r>
          </w:p>
        </w:tc>
      </w:tr>
      <w:tr>
        <w:trPr>
          <w:trHeight w:val="222"/>
        </w:trPr>
        <w:tc>
          <w:tcPr>
            <w:tcW w:w="354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18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20"/>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2645 N. Federal Highway, Suite 230</w:t>
            </w: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Delray Beach, FL</w:t>
            </w:r>
          </w:p>
        </w:tc>
        <w:tc>
          <w:tcPr>
            <w:tcW w:w="3740" w:type="dxa"/>
            <w:vAlign w:val="bottom"/>
            <w:gridSpan w:val="2"/>
          </w:tcPr>
          <w:p>
            <w:pPr>
              <w:jc w:val="right"/>
              <w:ind w:right="1472"/>
              <w:spacing w:after="0"/>
              <w:rPr>
                <w:sz w:val="20"/>
                <w:szCs w:val="20"/>
                <w:color w:val="auto"/>
              </w:rPr>
            </w:pPr>
            <w:r>
              <w:rPr>
                <w:rFonts w:ascii="Arial" w:cs="Arial" w:eastAsia="Arial" w:hAnsi="Arial"/>
                <w:sz w:val="18"/>
                <w:szCs w:val="18"/>
                <w:b w:val="1"/>
                <w:bCs w:val="1"/>
                <w:color w:val="auto"/>
              </w:rPr>
              <w:t>33483</w:t>
            </w:r>
          </w:p>
        </w:tc>
      </w:tr>
      <w:tr>
        <w:trPr>
          <w:trHeight w:val="222"/>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18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20"/>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w:t>
            </w:r>
          </w:p>
        </w:tc>
      </w:tr>
      <w:tr>
        <w:trPr>
          <w:trHeight w:val="237"/>
        </w:trPr>
        <w:tc>
          <w:tcPr>
            <w:tcW w:w="43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5"/>
              </w:rPr>
              <w:t>Title of each class</w:t>
            </w:r>
          </w:p>
        </w:tc>
        <w:tc>
          <w:tcPr>
            <w:tcW w:w="2940" w:type="dxa"/>
            <w:vAlign w:val="bottom"/>
          </w:tcPr>
          <w:p>
            <w:pPr>
              <w:jc w:val="center"/>
              <w:ind w:right="772"/>
              <w:spacing w:after="0"/>
              <w:rPr>
                <w:sz w:val="20"/>
                <w:szCs w:val="20"/>
                <w:color w:val="auto"/>
              </w:rPr>
            </w:pPr>
            <w:r>
              <w:rPr>
                <w:rFonts w:ascii="Arial" w:cs="Arial" w:eastAsia="Arial" w:hAnsi="Arial"/>
                <w:sz w:val="18"/>
                <w:szCs w:val="18"/>
                <w:b w:val="1"/>
                <w:bCs w:val="1"/>
                <w:color w:val="auto"/>
                <w:w w:val="88"/>
              </w:rPr>
              <w:t>Trading Symbol(s)</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6"/>
              </w:rPr>
              <w:t>which registered</w:t>
            </w:r>
          </w:p>
        </w:tc>
      </w:tr>
      <w:tr>
        <w:trPr>
          <w:trHeight w:val="208"/>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Units, each consisting of one share of Common</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jc w:val="center"/>
              <w:ind w:right="772"/>
              <w:spacing w:after="0"/>
              <w:rPr>
                <w:sz w:val="20"/>
                <w:szCs w:val="20"/>
                <w:color w:val="auto"/>
              </w:rPr>
            </w:pPr>
            <w:r>
              <w:rPr>
                <w:rFonts w:ascii="Arial" w:cs="Arial" w:eastAsia="Arial" w:hAnsi="Arial"/>
                <w:sz w:val="18"/>
                <w:szCs w:val="18"/>
                <w:color w:val="auto"/>
                <w:w w:val="90"/>
              </w:rPr>
              <w:t>BRPAU</w:t>
            </w:r>
          </w:p>
        </w:tc>
        <w:tc>
          <w:tcPr>
            <w:tcW w:w="120" w:type="dxa"/>
            <w:vAlign w:val="bottom"/>
          </w:tcPr>
          <w:p>
            <w:pPr>
              <w:spacing w:after="0"/>
              <w:rPr>
                <w:sz w:val="18"/>
                <w:szCs w:val="18"/>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380" w:type="dxa"/>
            <w:vAlign w:val="bottom"/>
            <w:gridSpan w:val="3"/>
          </w:tcPr>
          <w:p>
            <w:pPr>
              <w:jc w:val="center"/>
              <w:ind w:right="980"/>
              <w:spacing w:after="0"/>
              <w:rPr>
                <w:sz w:val="20"/>
                <w:szCs w:val="20"/>
                <w:color w:val="auto"/>
              </w:rPr>
            </w:pPr>
            <w:r>
              <w:rPr>
                <w:rFonts w:ascii="Arial" w:cs="Arial" w:eastAsia="Arial" w:hAnsi="Arial"/>
                <w:sz w:val="18"/>
                <w:szCs w:val="18"/>
                <w:color w:val="auto"/>
                <w:w w:val="88"/>
              </w:rPr>
              <w:t>Stock, one Right and one-half of one Warrant</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380" w:type="dxa"/>
            <w:vAlign w:val="bottom"/>
            <w:gridSpan w:val="3"/>
          </w:tcPr>
          <w:p>
            <w:pPr>
              <w:jc w:val="center"/>
              <w:ind w:right="980"/>
              <w:spacing w:after="0"/>
              <w:rPr>
                <w:sz w:val="20"/>
                <w:szCs w:val="20"/>
                <w:color w:val="auto"/>
              </w:rPr>
            </w:pPr>
            <w:r>
              <w:rPr>
                <w:rFonts w:ascii="Arial" w:cs="Arial" w:eastAsia="Arial" w:hAnsi="Arial"/>
                <w:sz w:val="18"/>
                <w:szCs w:val="18"/>
                <w:color w:val="auto"/>
                <w:w w:val="87"/>
              </w:rPr>
              <w:t>Common Stock, par value $0.001 per share</w:t>
            </w:r>
          </w:p>
        </w:tc>
        <w:tc>
          <w:tcPr>
            <w:tcW w:w="2940" w:type="dxa"/>
            <w:vAlign w:val="bottom"/>
          </w:tcPr>
          <w:p>
            <w:pPr>
              <w:jc w:val="center"/>
              <w:ind w:right="772"/>
              <w:spacing w:after="0"/>
              <w:rPr>
                <w:sz w:val="20"/>
                <w:szCs w:val="20"/>
                <w:color w:val="auto"/>
              </w:rPr>
            </w:pPr>
            <w:r>
              <w:rPr>
                <w:rFonts w:ascii="Arial" w:cs="Arial" w:eastAsia="Arial" w:hAnsi="Arial"/>
                <w:sz w:val="18"/>
                <w:szCs w:val="18"/>
                <w:color w:val="auto"/>
                <w:w w:val="89"/>
              </w:rPr>
              <w:t>BRPA</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380" w:type="dxa"/>
            <w:vAlign w:val="bottom"/>
            <w:gridSpan w:val="3"/>
          </w:tcPr>
          <w:p>
            <w:pPr>
              <w:jc w:val="center"/>
              <w:ind w:right="1000"/>
              <w:spacing w:after="0"/>
              <w:rPr>
                <w:sz w:val="20"/>
                <w:szCs w:val="20"/>
                <w:color w:val="auto"/>
              </w:rPr>
            </w:pPr>
            <w:r>
              <w:rPr>
                <w:rFonts w:ascii="Arial" w:cs="Arial" w:eastAsia="Arial" w:hAnsi="Arial"/>
                <w:sz w:val="18"/>
                <w:szCs w:val="18"/>
                <w:color w:val="auto"/>
                <w:w w:val="87"/>
              </w:rPr>
              <w:t>Rights, exchangeable into one-tenth of one</w:t>
            </w:r>
          </w:p>
        </w:tc>
        <w:tc>
          <w:tcPr>
            <w:tcW w:w="2940" w:type="dxa"/>
            <w:vAlign w:val="bottom"/>
          </w:tcPr>
          <w:p>
            <w:pPr>
              <w:jc w:val="center"/>
              <w:ind w:right="772"/>
              <w:spacing w:after="0"/>
              <w:rPr>
                <w:sz w:val="20"/>
                <w:szCs w:val="20"/>
                <w:color w:val="auto"/>
              </w:rPr>
            </w:pPr>
            <w:r>
              <w:rPr>
                <w:rFonts w:ascii="Arial" w:cs="Arial" w:eastAsia="Arial" w:hAnsi="Arial"/>
                <w:sz w:val="18"/>
                <w:szCs w:val="18"/>
                <w:color w:val="auto"/>
                <w:w w:val="90"/>
              </w:rPr>
              <w:t>BRPAR</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38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share of Common Stock</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38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Warrants, each whole warrant exercisable for</w:t>
            </w:r>
          </w:p>
        </w:tc>
        <w:tc>
          <w:tcPr>
            <w:tcW w:w="2940" w:type="dxa"/>
            <w:vAlign w:val="bottom"/>
          </w:tcPr>
          <w:p>
            <w:pPr>
              <w:jc w:val="center"/>
              <w:ind w:right="772"/>
              <w:spacing w:after="0"/>
              <w:rPr>
                <w:sz w:val="20"/>
                <w:szCs w:val="20"/>
                <w:color w:val="auto"/>
              </w:rPr>
            </w:pPr>
            <w:r>
              <w:rPr>
                <w:rFonts w:ascii="Arial" w:cs="Arial" w:eastAsia="Arial" w:hAnsi="Arial"/>
                <w:sz w:val="18"/>
                <w:szCs w:val="18"/>
                <w:color w:val="auto"/>
                <w:w w:val="90"/>
              </w:rPr>
              <w:t>BRPAW</w:t>
            </w: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380" w:type="dxa"/>
            <w:vAlign w:val="bottom"/>
            <w:gridSpan w:val="3"/>
          </w:tcPr>
          <w:p>
            <w:pPr>
              <w:jc w:val="center"/>
              <w:ind w:right="980"/>
              <w:spacing w:after="0"/>
              <w:rPr>
                <w:sz w:val="20"/>
                <w:szCs w:val="20"/>
                <w:color w:val="auto"/>
              </w:rPr>
            </w:pPr>
            <w:r>
              <w:rPr>
                <w:rFonts w:ascii="Arial" w:cs="Arial" w:eastAsia="Arial" w:hAnsi="Arial"/>
                <w:sz w:val="18"/>
                <w:szCs w:val="18"/>
                <w:color w:val="auto"/>
                <w:w w:val="86"/>
              </w:rPr>
              <w:t>one share of Common Stock at an exercise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22"/>
        </w:trPr>
        <w:tc>
          <w:tcPr>
            <w:tcW w:w="4380" w:type="dxa"/>
            <w:vAlign w:val="bottom"/>
            <w:gridSpan w:val="3"/>
          </w:tcPr>
          <w:p>
            <w:pPr>
              <w:jc w:val="center"/>
              <w:ind w:right="1000"/>
              <w:spacing w:after="0"/>
              <w:rPr>
                <w:sz w:val="20"/>
                <w:szCs w:val="20"/>
                <w:color w:val="auto"/>
              </w:rPr>
            </w:pPr>
            <w:r>
              <w:rPr>
                <w:rFonts w:ascii="Arial" w:cs="Arial" w:eastAsia="Arial" w:hAnsi="Arial"/>
                <w:sz w:val="18"/>
                <w:szCs w:val="18"/>
                <w:color w:val="auto"/>
                <w:w w:val="88"/>
              </w:rPr>
              <w:t>price of $11.50</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r>
    </w:tbl>
    <w:p>
      <w:pPr>
        <w:spacing w:after="0" w:line="21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6" w:right="339" w:bottom="370" w:gutter="0" w:footer="0" w:header="0"/>
        </w:sectPr>
      </w:pPr>
    </w:p>
    <w:p>
      <w:pPr>
        <w:spacing w:after="0" w:line="1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3">
            <w:col w:w="4720" w:space="720"/>
            <w:col w:w="1920" w:space="80"/>
            <w:col w:w="3800"/>
          </w:cols>
          <w:pgMar w:left="320" w:top="706" w:right="339" w:bottom="370" w:gutter="0" w:footer="0" w:header="0"/>
          <w:type w:val="continuous"/>
        </w:sectPr>
      </w:pPr>
    </w:p>
    <w:p>
      <w:pPr>
        <w:spacing w:after="0" w:line="4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16, 2020, there were 2,688,242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3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952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INFORMATION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Balance Sheets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Statements of Operations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Statements of Changes in Stockholders’ Equity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Condensed Statements of Cash Flows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to Condensed Financial Statements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PROCEEDINGS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1A.</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DEFAULTS UPON SENIOR SECURITIES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 SAFETY DISCLOSURES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1"/>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6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69,483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86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69,489</w:t>
            </w:r>
          </w:p>
        </w:tc>
      </w:tr>
      <w:tr>
        <w:trPr>
          <w:trHeight w:val="216"/>
        </w:trPr>
        <w:tc>
          <w:tcPr>
            <w:tcW w:w="8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5,934,671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32,005,205</w:t>
            </w: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6,031,775</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32,074,694</w:t>
            </w:r>
          </w:p>
        </w:tc>
      </w:tr>
      <w:tr>
        <w:trPr>
          <w:trHeight w:val="210"/>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379,198</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622,441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416,141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Promissory notes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1,535,623</w:t>
            </w:r>
          </w:p>
        </w:tc>
      </w:tr>
      <w:tr>
        <w:trPr>
          <w:trHeight w:val="21"/>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2,830,564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2,574,205</w:t>
            </w:r>
          </w:p>
        </w:tc>
      </w:tr>
      <w:tr>
        <w:trPr>
          <w:trHeight w:val="209"/>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subject to possible redemption, -0- and 2,305,335 shares at redemption value as of September 30, 2020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65"/>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December 31, 2019, respectively</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24,500,488</w:t>
            </w:r>
          </w:p>
        </w:tc>
      </w:tr>
      <w:tr>
        <w:trPr>
          <w:trHeight w:val="209"/>
        </w:trPr>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$0.001 par value; 100,000,000 shares authorized; 2,688,242 and 2,844,414 shares issued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outstanding (excluding -0- and 2,305,335 shares subject to possible redemption) as of September 30, 2020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2019, respectively</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2,831,088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4,627,662</w:t>
            </w:r>
          </w:p>
        </w:tc>
      </w:tr>
      <w:tr>
        <w:trPr>
          <w:trHeight w:val="237"/>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367,435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369,495</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3,201,211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5,000,001</w:t>
            </w: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6,031,775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32,074,694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Nine Months Ended</w:t>
            </w:r>
          </w:p>
        </w:tc>
      </w:tr>
      <w:tr>
        <w:trPr>
          <w:trHeight w:val="182"/>
        </w:trPr>
        <w:tc>
          <w:tcPr>
            <w:tcW w:w="5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5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w w:val="95"/>
              </w:rPr>
              <w:t>2019</w:t>
            </w:r>
          </w:p>
        </w:tc>
        <w:tc>
          <w:tcPr>
            <w:tcW w:w="140" w:type="dxa"/>
            <w:vAlign w:val="bottom"/>
          </w:tcPr>
          <w:p>
            <w:pPr>
              <w:spacing w:after="0"/>
              <w:rPr>
                <w:sz w:val="19"/>
                <w:szCs w:val="19"/>
                <w:color w:val="auto"/>
              </w:rPr>
            </w:pPr>
          </w:p>
        </w:tc>
      </w:tr>
      <w:tr>
        <w:trPr>
          <w:trHeight w:val="243"/>
        </w:trPr>
        <w:tc>
          <w:tcPr>
            <w:tcW w:w="5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169,028</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469,587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522,228</w:t>
            </w:r>
          </w:p>
        </w:tc>
      </w:tr>
      <w:tr>
        <w:trPr>
          <w:trHeight w:val="27"/>
        </w:trPr>
        <w:tc>
          <w:tcPr>
            <w:tcW w:w="5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(169,028)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(469,587)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(522,228)</w:t>
            </w:r>
          </w:p>
        </w:tc>
      </w:tr>
      <w:tr>
        <w:trPr>
          <w:trHeight w:val="216"/>
        </w:trPr>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debt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1,033,537</w:t>
            </w:r>
          </w:p>
        </w:tc>
      </w:tr>
      <w:tr>
        <w:trPr>
          <w:trHeight w:val="27"/>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258,236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1,033,537</w:t>
            </w:r>
          </w:p>
        </w:tc>
      </w:tr>
      <w:tr>
        <w:trPr>
          <w:trHeight w:val="216"/>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511,309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(88,128)</w:t>
            </w:r>
          </w:p>
        </w:tc>
      </w:tr>
      <w:tr>
        <w:trPr>
          <w:trHeight w:val="27"/>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(125,779)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59,195</w:t>
            </w:r>
          </w:p>
        </w:tc>
        <w:tc>
          <w:tcPr>
            <w:tcW w:w="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(2,060)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423,181</w:t>
            </w:r>
          </w:p>
        </w:tc>
      </w:tr>
      <w:tr>
        <w:trPr>
          <w:trHeight w:val="209"/>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2,697,303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2,801,350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2,752,380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2,773,842</w:t>
            </w:r>
          </w:p>
        </w:tc>
      </w:tr>
      <w:tr>
        <w:trPr>
          <w:trHeight w:val="209"/>
        </w:trPr>
        <w:tc>
          <w:tcPr>
            <w:tcW w:w="5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51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income per common share </w:t>
            </w:r>
            <w:r>
              <w:rPr>
                <w:rFonts w:ascii="Arial" w:cs="Arial" w:eastAsia="Arial" w:hAnsi="Arial"/>
                <w:sz w:val="24"/>
                <w:szCs w:val="24"/>
                <w:b w:val="1"/>
                <w:bCs w:val="1"/>
                <w:color w:val="auto"/>
                <w:vertAlign w:val="superscript"/>
              </w:rPr>
              <w:t>(2)</w:t>
            </w: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(0.09)</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an aggregate of up to -0- and 3,258,579 shares subject to possible redemption at September 30, 2020 and 2019, respectively.</w:t>
      </w:r>
    </w:p>
    <w:p>
      <w:pPr>
        <w:spacing w:after="0" w:line="15" w:lineRule="exact"/>
        <w:rPr>
          <w:rFonts w:ascii="Arial" w:cs="Arial" w:eastAsia="Arial" w:hAnsi="Arial"/>
          <w:sz w:val="18"/>
          <w:szCs w:val="18"/>
          <w:color w:val="auto"/>
        </w:rPr>
      </w:pPr>
    </w:p>
    <w:p>
      <w:pPr>
        <w:jc w:val="both"/>
        <w:ind w:left="240" w:hanging="232"/>
        <w:spacing w:after="0" w:line="255"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$-0- and $159,486 for the three months ended September 30, 2020 and 2019, respectively, and $-0- and $658,996 for the nine months ended September 30, 2020 and 2019, respectively (see Note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ind w:left="340" w:right="2580"/>
        <w:spacing w:after="0" w:line="262" w:lineRule="auto"/>
        <w:rPr>
          <w:sz w:val="20"/>
          <w:szCs w:val="20"/>
          <w:color w:val="auto"/>
        </w:rPr>
      </w:pPr>
      <w:r>
        <w:rPr>
          <w:rFonts w:ascii="Arial" w:cs="Arial" w:eastAsia="Arial" w:hAnsi="Arial"/>
          <w:sz w:val="18"/>
          <w:szCs w:val="18"/>
          <w:b w:val="1"/>
          <w:bCs w:val="1"/>
          <w:color w:val="auto"/>
        </w:rPr>
        <w:t>BIG ROCK PARTNERS ACQUISITION CORP. CONDENSED STATEMENTS OF CHANGES IN STOCKHOLDERS’ EQUITY (UNAUDITED)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Retained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50"/>
        </w:trPr>
        <w:tc>
          <w:tcPr>
            <w:tcW w:w="574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Earnings</w:t>
            </w:r>
          </w:p>
        </w:tc>
        <w:tc>
          <w:tcPr>
            <w:tcW w:w="12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Equity</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4,627,662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5,000,001</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(1,497,349)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(1,497,477)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273,220</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3,130,313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642,715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3,775,744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(149,501)</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(149,501)</w:t>
            </w: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3,130,313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493,214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3,626,243</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(299,225)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(299,253)</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(125,779)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(125,779)</w:t>
            </w: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2,688,242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2,831,088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367,435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3,201,211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3"/>
        </w:trPr>
        <w:tc>
          <w:tcPr>
            <w:tcW w:w="8080" w:type="dxa"/>
            <w:vAlign w:val="bottom"/>
            <w:gridSpan w:val="7"/>
          </w:tcPr>
          <w:p>
            <w:pPr>
              <w:ind w:left="3240"/>
              <w:spacing w:after="0"/>
              <w:rPr>
                <w:sz w:val="20"/>
                <w:szCs w:val="20"/>
                <w:color w:val="auto"/>
              </w:rPr>
            </w:pPr>
            <w:r>
              <w:rPr>
                <w:rFonts w:ascii="Arial" w:cs="Arial" w:eastAsia="Arial" w:hAnsi="Arial"/>
                <w:sz w:val="18"/>
                <w:szCs w:val="18"/>
                <w:b w:val="1"/>
                <w:bCs w:val="1"/>
                <w:color w:val="auto"/>
                <w:w w:val="97"/>
              </w:rPr>
              <w:t>THREE AND NINE MONTHS ENDED SEPTEMBER 30, 2019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5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4"/>
              </w:rPr>
              <w:t>Deficit)/</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Retained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r>
      <w:tr>
        <w:trPr>
          <w:trHeight w:val="250"/>
        </w:trPr>
        <w:tc>
          <w:tcPr>
            <w:tcW w:w="5740" w:type="dxa"/>
            <w:vAlign w:val="bottom"/>
          </w:tcPr>
          <w:p>
            <w:pPr>
              <w:spacing w:after="0"/>
              <w:rPr>
                <w:sz w:val="21"/>
                <w:szCs w:val="21"/>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w w:val="98"/>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5"/>
                <w:szCs w:val="15"/>
                <w:b w:val="1"/>
                <w:bCs w:val="1"/>
                <w:color w:val="auto"/>
                <w:w w:val="95"/>
              </w:rPr>
              <w:t>Capital</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87"/>
              </w:rPr>
              <w:t>Earnings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5"/>
                <w:szCs w:val="15"/>
                <w:b w:val="1"/>
                <w:bCs w:val="1"/>
                <w:color w:val="auto"/>
                <w:w w:val="95"/>
              </w:rPr>
              <w:t>Equity</w:t>
            </w:r>
          </w:p>
        </w:tc>
        <w:tc>
          <w:tcPr>
            <w:tcW w:w="10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5,000,006</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(187,966)</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100" w:type="dxa"/>
            <w:vAlign w:val="bottom"/>
            <w:shd w:val="clear" w:color="auto" w:fill="CCEEFF"/>
          </w:tcPr>
          <w:p>
            <w:pPr>
              <w:spacing w:after="0"/>
              <w:rPr>
                <w:sz w:val="24"/>
                <w:szCs w:val="24"/>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2,794,297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4,848,178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(367,227)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required to consummate a Business Combination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2,801,350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4,672,153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325,054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5,000,008</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(147,988)</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required to consummate a Business Combination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10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2,810,261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4,612,947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384,249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Nine Months Ended</w:t>
      </w:r>
    </w:p>
    <w:p>
      <w:pPr>
        <w:spacing w:after="0" w:line="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-7620</wp:posOffset>
            </wp:positionV>
            <wp:extent cx="1534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2"/>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423,181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(1,033,537)</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Forgiveness of debt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(352,071)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5,364</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incomes taxes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(13,793)</w:t>
            </w:r>
          </w:p>
        </w:tc>
      </w:tr>
      <w:tr>
        <w:trPr>
          <w:trHeight w:val="237"/>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88,128</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24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(371,559)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(530,657)</w:t>
            </w:r>
          </w:p>
        </w:tc>
      </w:tr>
      <w:tr>
        <w:trPr>
          <w:trHeight w:val="21"/>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26,297,218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30,990,611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withdrawn from Trust Account to pay franchise taxes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465,993</w:t>
            </w:r>
          </w:p>
        </w:tc>
      </w:tr>
      <w:tr>
        <w:trPr>
          <w:trHeight w:val="23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(854,147)</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24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investing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26,209,187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30,602,457</w:t>
            </w:r>
          </w:p>
        </w:tc>
      </w:tr>
      <w:tr>
        <w:trPr>
          <w:trHeight w:val="21"/>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774,814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392,198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Redemption of common stock</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(26,297,218)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(30,990,611)</w:t>
            </w:r>
          </w:p>
        </w:tc>
      </w:tr>
      <w:tr>
        <w:trPr>
          <w:trHeight w:val="20"/>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(25,797,616)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(29,888,599)</w:t>
            </w:r>
          </w:p>
        </w:tc>
      </w:tr>
      <w:tr>
        <w:trPr>
          <w:trHeight w:val="210"/>
        </w:trPr>
        <w:tc>
          <w:tcPr>
            <w:tcW w:w="7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183,201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 Beginning</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11,079</w:t>
            </w:r>
          </w:p>
        </w:tc>
      </w:tr>
      <w:tr>
        <w:trPr>
          <w:trHeight w:val="20"/>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40,018</w:t>
            </w:r>
          </w:p>
        </w:tc>
        <w:tc>
          <w:tcPr>
            <w:tcW w:w="1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194,280</w:t>
            </w:r>
          </w:p>
        </w:tc>
      </w:tr>
      <w:tr>
        <w:trPr>
          <w:trHeight w:val="210"/>
        </w:trPr>
        <w:tc>
          <w:tcPr>
            <w:tcW w:w="7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1,497,477</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703,181</w:t>
            </w:r>
          </w:p>
        </w:tc>
      </w:tr>
      <w:tr>
        <w:trPr>
          <w:trHeight w:val="20"/>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to Trust Account</w:t>
            </w: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280,000</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activity through September 30, 2020 relates to the Company’s formation, its initial public offering (“Initial Public Offering”), which is described below, and the search for a target business with which to complete a Business Combination.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w:t>
      </w:r>
    </w:p>
    <w:p>
      <w:pPr>
        <w:spacing w:after="0" w:line="3" w:lineRule="exact"/>
        <w:rPr>
          <w:sz w:val="20"/>
          <w:szCs w:val="20"/>
          <w:color w:val="auto"/>
        </w:rPr>
      </w:pPr>
    </w:p>
    <w:p>
      <w:pPr>
        <w:jc w:val="both"/>
        <w:ind w:firstLine="8"/>
        <w:spacing w:after="0" w:line="30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initially had until November 22, 2018 to complete a Business Combination. However, if the Company anticipated that it would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(the “Investor”) (see Note 6). The notes are repayable upon the consummation of a Business Combination (see Note 6).</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the Investor, in the original principal amount of $6,814 (see Note 6).</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Investor (see Note 6).</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Investor (see Note 6). In January and February 2020, AZ Property Partners and Investor loaned the Company an additional aggregate amount of $90,427 each to pay for the extension through March 23, 2020, which was deposited into the Trust Account.</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3rd day prior to the end of any applicable monthly period was equal to or greater than $11.00 and the trading volume during the 10-day trading period exceeded 100,000 shares, the obligation to make any particular deposit would terminate with respect to the immediately following monthly period (but not with respect to any other future monthly period). In connection with this extension, the Company deposited an aggregate of $34,858 into the Trust Account to fund the extension through July 23, 2020, of which $17,429 was loaned to the Company by each of AZ Property Partners and the Investor.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23, 2020, the Company's stockholders approved an amendment to the Amended and Restated Certificate of Incorporation to extend the period of time for which the Company is required to consummate a Business Combination (the “Fourth Extension”) from July 23, 2020 to December 23, 2020 (the “Extended Date”). The number of shares of common stock presented for redemption in connection with the Fourth Extension was 27,786. The Company paid cash in amount of $299,253, or approximately $10.77 per share, to redeeming stockholders. The Company agreed to deposit, or cause to be deposited on its behalf, into the Trust Account $0.02 for each public share outstanding for each 30-day extension period utilized through the Fourth Extension. In connection with this extension, as of November 13, 2020, the Company deposited an aggregate of $44,219 into the Trust Account, of which $22,110 was deposited as of September 30, 2020, to fund the extension through November 23, 2020, which amounts were loaned to the Company by AZ Property Partners and the Investor.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was in compliance with Nasdaq Listing Rule 5620(a) for continued listing and the matter was closed.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248"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25, 2020, the Company received formal notice from Nasdaq indicating that the Staff had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 The Company failed to meet certain of the conditions contained in the extension grant and has submitted a modified extension request to the Staff.</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August 10, 2020, the Company submitted a letter to Nasdaq indicating that it was in compliance with the Rule as of July 31, 2020 and, as a result, satisfies the minimum 300 public holder requirement and all other applicable criteria for continued listing on Nasdaq. Accordingly, the Company requested that the Staff render a formal determination to continue the listing of the Company’s securities. On August 11, 2020, the Company received a formal notice from Nasdaq notifying the Company that it regained compliance with the minimum 300 public holder requirement under Nasdaq rules and that the Panel had determined to continue the listing of the Company's securities on Nasdaq and close the matter.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the Company had $40,018 in its operating bank account, $5,934,671 in cash and marketable securities held in the Trust Account to be used for a Business Combination or to repurchase or convert stock in connection therewith and an adjusted working capital deficit of $328,380, which excludes prepaid income taxes of $46,286, which have been paid from amounts in the Trust Account. As of September 30, 2020, approximately $120,000 of the amount on deposit in the Trust Account represented interest income, which is available to pay the Company’s tax obligations. To date, the Company has withdrawn $716,788 of interest from the Trust Account in order to pay the Company’s franchise and income taxes, of which $161,430 was withdrawn during the nine months ended September 30, 2020.</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the Investor agreed to loan the Company all funds necessary to pay expenses incurred in connection with and in order to consummate a business combination (the “Business Combination Expenses”) and such loans will be added to the Initial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November 23, 2020 to consummate a Business Combination. There is no assurance that the Company will be able to do so prior to November 23,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6480" w:firstLine="8"/>
        <w:spacing w:after="0" w:line="504" w:lineRule="auto"/>
        <w:tabs>
          <w:tab w:leader="none" w:pos="1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30, 2020, which contains the audited financial statements and notes thereto. The interim results for the three and nine months ended September 30, 2020 are not necessarily indicative of the results to be expected for the year ending December 31, 2020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2020 and December 31, 2019, the assets held in the Trust Account were held in money market funds, which are invested in U.S. Treasury securities. Through September 30, 2020, the Company has withdrawn $716,788 of interest from the Trust Account in order to pay its franchise and income taxes, of which $161,430 was withdrawn during the nine months ended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condensed balance sheets. At September 30, 2020, there are no shares of common stock subject to possible redemption.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September 30, 2020 and December 31, 2019, there were no unrecognized tax benefits and no amounts accrued for interest and penalties. The Company is currently not aware of any issues under review that could result in significant payments, accruals or material deviation from its position. The effective tax rate of 25% and 110% differs from the statutory tax rate of 25% for the three and nine months ended September 30, 2020, respectively, primarily due to true-up adjustments from the prior year tax returns.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Common Share</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(loss) income per common share is computed by dividing net (loss) income by the weighted average number of common shares outstanding for the period. The Company applies the two-class method in calculating earnings per share. Shares of common stock subject to possible redemption at September 30, 2020 and 2019, which are not currently redeemable and are not redeemable at fair value, have been excluded from the calculation of basic net (loss) income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income per share, since the exercise of the warrants, the conversion of the rights into shares of common stock and the exercise of the unit purchase option are contingent upon the occurrence of future events. As a result, diluted (loss) income per common share is the same as basic (loss) income per common share for the periods presented.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Per Common Share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net (loss)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Nine Months Ended</w:t>
            </w:r>
          </w:p>
        </w:tc>
      </w:tr>
      <w:tr>
        <w:trPr>
          <w:trHeight w:val="182"/>
        </w:trPr>
        <w:tc>
          <w:tcPr>
            <w:tcW w:w="5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95"/>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w w:val="95"/>
              </w:rPr>
              <w:t>2019</w:t>
            </w:r>
          </w:p>
        </w:tc>
        <w:tc>
          <w:tcPr>
            <w:tcW w:w="140" w:type="dxa"/>
            <w:vAlign w:val="bottom"/>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423,181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w w:val="94"/>
              </w:rPr>
              <w:t>Less: Income attributable to common stock subject to possible redemption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(658,996)</w:t>
            </w:r>
          </w:p>
        </w:tc>
      </w:tr>
      <w:tr>
        <w:trPr>
          <w:trHeight w:val="20"/>
        </w:trPr>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(235,815)</w:t>
            </w:r>
          </w:p>
        </w:tc>
      </w:tr>
      <w:tr>
        <w:trPr>
          <w:trHeight w:val="210"/>
        </w:trPr>
        <w:tc>
          <w:tcPr>
            <w:tcW w:w="5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2,697,303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2,801,350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2,752,380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2,773,842</w:t>
            </w:r>
          </w:p>
        </w:tc>
      </w:tr>
      <w:tr>
        <w:trPr>
          <w:trHeight w:val="209"/>
        </w:trPr>
        <w:tc>
          <w:tcPr>
            <w:tcW w:w="56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common share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r>
      <w:tr>
        <w:trPr>
          <w:trHeight w:val="423"/>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Concentration of Credit Risk</w:t>
            </w:r>
          </w:p>
        </w:tc>
        <w:tc>
          <w:tcPr>
            <w:tcW w:w="3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3" w:lineRule="exact"/>
        <w:rPr>
          <w:sz w:val="20"/>
          <w:szCs w:val="20"/>
          <w:color w:val="auto"/>
        </w:rPr>
      </w:pPr>
    </w:p>
    <w:p>
      <w:pPr>
        <w:ind w:right="8160" w:firstLine="8"/>
        <w:spacing w:after="0" w:line="504" w:lineRule="auto"/>
        <w:tabs>
          <w:tab w:leader="none" w:pos="1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did not purchase any Public Shares in the Initial Public Offering and excluding the Private Placement Units and the Representative Shares (as defined in Note 8)). As a result of the underwriters’ election to fully exercise their over-allotment option, 225,000 Founder Shares are no longer subject to forfeiture.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September 30, 2020 and December 31, 2019.</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INVESTOR AGREEMENT AND PROMISSORY NOTES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“Initial Notes”) in favor of the Investor, in the original principal amount of $690,000 each (or an aggregate of $1,380,000), to provide the Company the funds necessary to obtain an aggregate of six-months of Extensions. Pursuant to the Agreement, the Investor has also agreed to loan the Company all funds necessary to pay expenses incurred in connection with and in order to consummate a Business Combination (the “Business Combination Expenses”) and such loans will be added to the Initial Notes.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“Second Note”) in favor of the Investor in order to pay for part of the third extension payment in the original principal amount of $6,814.</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31, 2019, the Company issued an unsecured promissory note, as amended on March 31, 2020, June 30,2020 and September 30, 2020, (the “Third Note” and, together with the Initial Notes and the Second Note, the “Extension Notes”) in favor of the Investor in the aggregate principal amount of $317,547 in order to pay for part of the extension payments. Through September 30, 2020, the Investor loaned the Company an aggregate of $306,492, of which $124,717 was loaned during the nine months ended September 30, 2020 to pay for part of the extension payments through September 23, 2020 and $32,967 was loaned during the nine months ended September 30, 2020 to pay for extension related costs. In October 2020, the Investor loaned the Company an additional $11,055 to pay for part of the extension through November 23, 2020.</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outstanding balance under the Extension Notes amounted to an aggregate of $1,693,306.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on March 31, 2020, June 30, 2020 and September 30, 2020, in the principal amount of $837,057 to pay for Non-Business Combination Related Expenses incurred through September 30, 2020 and expenses incurred thereafter. If the Company does not consummate a Business Combination, all outstanding loans made by the Sponsor to cover the Non-Business Combination Related Expenses will be forgiven, except as set forth above.</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Through September 30, 2020, AZ Property Partners loaned the Company an aggregate of $758,060, of which $124,717 was loaned during the nine months ended September 30, 2020 to pay for part of the extension payments through September 23, 2020 and $217,202 was loaned during the nine months ended September 30, 2020 to pay for Non-Business Combination Related Expenses. In October 2020, AZ Property Partners loaned the Company an additional $11,055 to pay for part of the extension through November 23, 2020 and an additional $67,942 to pay for Non-Business Combination Related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outstanding balance under promissory note with AZ Property Partners amounted to $758,060.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7700" w:firstLine="8"/>
        <w:spacing w:after="0" w:line="504" w:lineRule="auto"/>
        <w:tabs>
          <w:tab w:leader="none" w:pos="1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Forgiveness of Debt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2020, one of the Company’s service providers forgave certain amounts due to them in connection with previously provided services. As a result, the Company recorded a forgiveness of debt in the amount of $352,071.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preferences as may be determined from time to time by the Company’s Board of Directors. At September 30, 2020 and December 31, 2019, there were no shares of preferred stock issued or outstanding.</w:t>
      </w:r>
    </w:p>
    <w:p>
      <w:pPr>
        <w:spacing w:after="0" w:line="18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entitled to one vote for each share. At September 30, 2020 and December 31, 2019, there were 2,688,242 and 2,844,414 shares of common stock issued and outstanding, respectively (excluding -0- and 2,305,335 shares of common stock subject to possible redemption,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Level 3: Unobservable inputs based on the Company's assessment of the assumptions that market participants would use in pricing the asset or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112"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September 30, 2020 and December 31, 2019, and indicates the fair value hierarchy of the valuation inputs the Company utilized to determine such fair value: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7"/>
              </w:rPr>
              <w:t>September 30,</w:t>
            </w:r>
          </w:p>
        </w:tc>
        <w:tc>
          <w:tcPr>
            <w:tcW w:w="2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720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5"/>
                <w:szCs w:val="15"/>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Level</w:t>
            </w:r>
          </w:p>
        </w:tc>
        <w:tc>
          <w:tcPr>
            <w:tcW w:w="1340" w:type="dxa"/>
            <w:vAlign w:val="bottom"/>
            <w:gridSpan w:val="2"/>
          </w:tcPr>
          <w:p>
            <w:pPr>
              <w:jc w:val="center"/>
              <w:ind w:left="189"/>
              <w:spacing w:after="0"/>
              <w:rPr>
                <w:sz w:val="20"/>
                <w:szCs w:val="20"/>
                <w:color w:val="auto"/>
              </w:rPr>
            </w:pPr>
            <w:r>
              <w:rPr>
                <w:rFonts w:ascii="Arial" w:cs="Arial" w:eastAsia="Arial" w:hAnsi="Arial"/>
                <w:sz w:val="15"/>
                <w:szCs w:val="15"/>
                <w:b w:val="1"/>
                <w:bCs w:val="1"/>
                <w:color w:val="auto"/>
                <w:w w:val="89"/>
              </w:rPr>
              <w:t>2020</w:t>
            </w:r>
          </w:p>
        </w:tc>
        <w:tc>
          <w:tcPr>
            <w:tcW w:w="134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2"/>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center"/>
              <w:ind w:left="169"/>
              <w:spacing w:after="0" w:line="244" w:lineRule="exact"/>
              <w:rPr>
                <w:sz w:val="20"/>
                <w:szCs w:val="20"/>
                <w:color w:val="auto"/>
              </w:rPr>
            </w:pPr>
            <w:r>
              <w:rPr>
                <w:rFonts w:ascii="Arial" w:cs="Arial" w:eastAsia="Arial" w:hAnsi="Arial"/>
                <w:sz w:val="22"/>
                <w:szCs w:val="22"/>
                <w:color w:val="auto"/>
                <w:w w:val="92"/>
              </w:rPr>
              <w:t>$ 5,934,671</w:t>
            </w:r>
          </w:p>
        </w:tc>
        <w:tc>
          <w:tcPr>
            <w:tcW w:w="1480" w:type="dxa"/>
            <w:vAlign w:val="bottom"/>
            <w:gridSpan w:val="3"/>
            <w:shd w:val="clear" w:color="auto" w:fill="CCEEFF"/>
          </w:tcPr>
          <w:p>
            <w:pPr>
              <w:jc w:val="right"/>
              <w:ind w:right="140"/>
              <w:spacing w:after="0" w:line="244" w:lineRule="exact"/>
              <w:rPr>
                <w:sz w:val="20"/>
                <w:szCs w:val="20"/>
                <w:color w:val="auto"/>
              </w:rPr>
            </w:pPr>
            <w:r>
              <w:rPr>
                <w:rFonts w:ascii="Arial" w:cs="Arial" w:eastAsia="Arial" w:hAnsi="Arial"/>
                <w:sz w:val="22"/>
                <w:szCs w:val="22"/>
                <w:color w:val="auto"/>
              </w:rPr>
              <w:t>$32,005,205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Based upon this review, other than as described below, the Company did not identify any subsequent events that would have required adjustment or disclosure in the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October 2020, the Investor loaned the Company $11,055 under the Third Note to pay for part of the extension through November 23, 2020.</w:t>
      </w: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October 2020, AZ Property Partners loaned the Company an additional $11,055 to pay for part of the extension through November 23, 2020 and an additional $67,942 to pay for Non-Business Combination Related Expenses.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the extent to which the COVID-19 pandemic impacts our search for a business combination and our ability to complete a business combination.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30, 2020, except as described in our Quarterly Report of Form 10-Q for the quarter ended June 30, 2020 filed with teh SEC on August 14,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 to Complete Business Combination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23, 2020, our stockholders approved an amendment to the Amended and Restated Certificate of Incorporation to extend the period of time for which we are required to consummate a Business Combination (the “Fourth Extension”) from July 23, 2020 to December 23, 2020 (the “Extended Date”). The number of shares of common stock presented for redemption in connection with the Fourth Extension was 27,786. We paid cash in amount of approximately $299,000, or approximately $10.77 per share, to redeeming stockholders. We agreed to deposit, or cause to be deposited on its behalf, into the Trust Account $0.02 for each public share outstanding for each 30-day extension period utilized through the Fourth Extension. As of November 13, 2020, in connection with this extension, we deposited an aggregate of $44,219 into the Trust Account to fund the extension through November 23, 2020.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For the three months ended September 30, 2020, we had a net loss of $125,779, which consists of operating expenses of $169,028, offset by interest income on securities held in the trust account established for the benefit of our public stockholders (the “Trust Account”) of $559 and an income tax benefit of $42,690.</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2020, we had net loss of $2,060, which consists of operating expenses of $469,587 and a provision for income taxes of $23,197, offset by the forgiveness of previously recorded professional fees of $352,071 and interest income on securities held in the Trust Account of $138,653.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2019, we had a net income of $59,195, which consists of interest income on securities held in the trust account established for the benefit of our public stockholders (the “Trust Account”) of $258,236, offset by operating costs of $183,305 and provision for income taxes of $15,736.</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2019, we had a net income of $423,181, which consists of interest income on securities held in the Trust Account of $1,033,537, offset by operating costs of $522,228 and provision for income taxes of $88,128.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2020, we had cash and marketable securities held in the Trust Account of $5,934,671 (including approximately $120,000 of interest income) consisting of money market funds. Interest income earned on the balance in the Trust Account may be used by us to pay taxes. To date, we have withdrawn $716,788 of interest from the Trust Account in order to pay our income and franchise taxes, of which $161,430 was withdrawn during the nine months ended September 30,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2020, cash used in operating activities amounted to $371,559. Net loss of $2,060 was the result of the forgiveness of previously recorded professional fees in the amount of $352,071 and interest earned on securities held in the Trust Account of $138,653 and changes in operating assets and liabilities, which provided $121,225 of cash for operating activities.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cash used in operating activities amounted to $530,657. Net income of $423,181 was the result of interest earned on securities held in the Trust Account of $1,033,537, offset by changes in operating assets and liabilities, which provided $79,699 of cash for operating activities.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2020, A/Z Property has loaned us an aggregate of $758,060 in order to pay our Non-Business Combination Related Expenses and extension payments. Upon consummation of a Business Combination, up to $200,000 of the Non-Business Combination Related Expenses may be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Investor has loaned us an aggregate of $1,693,306 in order to fund a portion of the extension payments.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jc w:val="both"/>
        <w:spacing w:after="0" w:line="288"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We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balance sheets. At September 30, 2020 there are no shares of common stock subject to possible redemption.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apply the two-class method in calculating earnings per share. Common stock subject to possible redemption which is not currently redeemable and is not redeemable at fair value, has been excluded from the calculation of basic net loss per common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item is not applicable as we are currently considered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management, with the participation of,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 as of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30, 2020. As of the date of this Report, other than as described below, there have been no material changes to the risk factors disclosed in our Annual Report filed with the SEC.</w:t>
      </w:r>
    </w:p>
    <w:p>
      <w:pPr>
        <w:spacing w:after="0" w:line="18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proceeds held in the Trust Account are invested only in U.S. government treasury obligations with a maturity of 180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23, 2020, the Company's stockholders approved to amend its Amended and Restated Certificate of Incorporation to extend the period of time for which the Company is required to consummate a Business Combination to December 23, 2020. The number of shares of common stock presented for redemption in connection with the extension was 27,786. The Company paid cash in the aggregate amount of approximately $299,000, or approximately $10.77 per share, to redeeming stockholders. For additional information, see Note 1 to the condensed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460" w:type="dxa"/>
            <w:vAlign w:val="bottom"/>
          </w:tcPr>
          <w:p>
            <w:pPr>
              <w:spacing w:after="0"/>
              <w:rPr>
                <w:sz w:val="19"/>
                <w:szCs w:val="19"/>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 of Exhibit</w:t>
            </w:r>
          </w:p>
        </w:tc>
      </w:tr>
      <w:tr>
        <w:trPr>
          <w:trHeight w:val="28"/>
        </w:trPr>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320" w:type="dxa"/>
            <w:vAlign w:val="bottom"/>
            <w:shd w:val="clear" w:color="auto" w:fill="000000"/>
          </w:tcPr>
          <w:p>
            <w:pPr>
              <w:spacing w:after="0"/>
              <w:rPr>
                <w:sz w:val="2"/>
                <w:szCs w:val="2"/>
                <w:color w:val="auto"/>
              </w:rPr>
            </w:pPr>
          </w:p>
        </w:tc>
      </w:tr>
      <w:tr>
        <w:trPr>
          <w:trHeight w:val="208"/>
        </w:trPr>
        <w:tc>
          <w:tcPr>
            <w:tcW w:w="340" w:type="dxa"/>
            <w:vAlign w:val="bottom"/>
            <w:shd w:val="clear" w:color="auto" w:fill="CCEEFF"/>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3.1</w:t>
              </w:r>
            </w:hyperlink>
          </w:p>
        </w:tc>
        <w:tc>
          <w:tcPr>
            <w:tcW w:w="460" w:type="dxa"/>
            <w:vAlign w:val="bottom"/>
            <w:shd w:val="clear" w:color="auto" w:fill="CCEEFF"/>
          </w:tcPr>
          <w:p>
            <w:pPr>
              <w:spacing w:after="0"/>
              <w:rPr>
                <w:sz w:val="18"/>
                <w:szCs w:val="18"/>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 File No.</w:t>
            </w:r>
          </w:p>
        </w:tc>
      </w:tr>
      <w:tr>
        <w:trPr>
          <w:trHeight w:val="224"/>
        </w:trPr>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001-38302, filed on July 24, 2020).</w:t>
            </w:r>
          </w:p>
        </w:tc>
      </w:tr>
      <w:tr>
        <w:trPr>
          <w:trHeight w:val="208"/>
        </w:trPr>
        <w:tc>
          <w:tcPr>
            <w:tcW w:w="340" w:type="dxa"/>
            <w:vAlign w:val="bottom"/>
          </w:tcPr>
          <w:p>
            <w:pPr>
              <w:spacing w:after="0"/>
              <w:rPr>
                <w:rFonts w:ascii="Arial" w:cs="Arial" w:eastAsia="Arial" w:hAnsi="Arial"/>
                <w:sz w:val="18"/>
                <w:szCs w:val="18"/>
                <w:u w:val="single" w:color="auto"/>
                <w:color w:val="0000EE"/>
                <w:w w:val="91"/>
              </w:rPr>
            </w:pPr>
            <w:hyperlink w:anchor="page27">
              <w:r>
                <w:rPr>
                  <w:rFonts w:ascii="Arial" w:cs="Arial" w:eastAsia="Arial" w:hAnsi="Arial"/>
                  <w:sz w:val="18"/>
                  <w:szCs w:val="18"/>
                  <w:u w:val="single" w:color="auto"/>
                  <w:color w:val="0000EE"/>
                  <w:w w:val="91"/>
                </w:rPr>
                <w:t>31.1</w:t>
              </w:r>
            </w:hyperlink>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w w:val="89"/>
              </w:rPr>
              <w:t>Certification of Principal Executive Officer Pursuant to Securities Exchange Act Rules 13a-14(a) and 15(d)-14(a), as adopted Pursuant to Section</w:t>
            </w: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302 of the Sarbanes-Oxley Act of 2002</w:t>
            </w:r>
          </w:p>
        </w:tc>
      </w:tr>
      <w:tr>
        <w:trPr>
          <w:trHeight w:val="209"/>
        </w:trPr>
        <w:tc>
          <w:tcPr>
            <w:tcW w:w="340" w:type="dxa"/>
            <w:vAlign w:val="bottom"/>
            <w:shd w:val="clear" w:color="auto" w:fill="CCEEFF"/>
          </w:tcPr>
          <w:p>
            <w:pPr>
              <w:spacing w:after="0"/>
              <w:rPr>
                <w:rFonts w:ascii="Arial" w:cs="Arial" w:eastAsia="Arial" w:hAnsi="Arial"/>
                <w:sz w:val="18"/>
                <w:szCs w:val="18"/>
                <w:u w:val="single" w:color="auto"/>
                <w:color w:val="0000EE"/>
                <w:w w:val="91"/>
              </w:rPr>
            </w:pPr>
            <w:hyperlink w:anchor="page28">
              <w:r>
                <w:rPr>
                  <w:rFonts w:ascii="Arial" w:cs="Arial" w:eastAsia="Arial" w:hAnsi="Arial"/>
                  <w:sz w:val="18"/>
                  <w:szCs w:val="18"/>
                  <w:u w:val="single" w:color="auto"/>
                  <w:color w:val="0000EE"/>
                  <w:w w:val="91"/>
                </w:rPr>
                <w:t>31.2</w:t>
              </w:r>
            </w:hyperlink>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Certification of Principal Financial Officer Pursuant to Securities Exchange Act Rules 13a-14(a) and 15(d)-14(a), as adopted Pursuant to Section</w:t>
            </w:r>
          </w:p>
        </w:tc>
      </w:tr>
      <w:tr>
        <w:trPr>
          <w:trHeight w:val="224"/>
        </w:trPr>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302 of the Sarbanes-Oxley Act of 2002</w:t>
            </w:r>
          </w:p>
        </w:tc>
      </w:tr>
      <w:tr>
        <w:trPr>
          <w:trHeight w:val="208"/>
        </w:trPr>
        <w:tc>
          <w:tcPr>
            <w:tcW w:w="340" w:type="dxa"/>
            <w:vAlign w:val="bottom"/>
          </w:tcPr>
          <w:p>
            <w:pPr>
              <w:spacing w:after="0"/>
              <w:rPr>
                <w:rFonts w:ascii="Arial" w:cs="Arial" w:eastAsia="Arial" w:hAnsi="Arial"/>
                <w:sz w:val="18"/>
                <w:szCs w:val="18"/>
                <w:u w:val="single" w:color="auto"/>
                <w:color w:val="0000EE"/>
                <w:w w:val="91"/>
              </w:rPr>
            </w:pPr>
            <w:hyperlink w:anchor="page30">
              <w:r>
                <w:rPr>
                  <w:rFonts w:ascii="Arial" w:cs="Arial" w:eastAsia="Arial" w:hAnsi="Arial"/>
                  <w:sz w:val="18"/>
                  <w:szCs w:val="18"/>
                  <w:u w:val="single" w:color="auto"/>
                  <w:color w:val="0000EE"/>
                  <w:w w:val="91"/>
                </w:rPr>
                <w:t>32.1</w:t>
              </w:r>
            </w:hyperlink>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 Act of</w:t>
            </w:r>
          </w:p>
        </w:tc>
      </w:tr>
      <w:tr>
        <w:trPr>
          <w:trHeight w:val="223"/>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2002</w:t>
            </w:r>
          </w:p>
        </w:tc>
      </w:tr>
      <w:tr>
        <w:trPr>
          <w:trHeight w:val="209"/>
        </w:trPr>
        <w:tc>
          <w:tcPr>
            <w:tcW w:w="340" w:type="dxa"/>
            <w:vAlign w:val="bottom"/>
            <w:shd w:val="clear" w:color="auto" w:fill="CCEEFF"/>
          </w:tcPr>
          <w:p>
            <w:pPr>
              <w:spacing w:after="0"/>
              <w:rPr>
                <w:rFonts w:ascii="Arial" w:cs="Arial" w:eastAsia="Arial" w:hAnsi="Arial"/>
                <w:sz w:val="18"/>
                <w:szCs w:val="18"/>
                <w:u w:val="single" w:color="auto"/>
                <w:color w:val="0000EE"/>
                <w:w w:val="91"/>
              </w:rPr>
            </w:pPr>
            <w:hyperlink w:anchor="page32">
              <w:r>
                <w:rPr>
                  <w:rFonts w:ascii="Arial" w:cs="Arial" w:eastAsia="Arial" w:hAnsi="Arial"/>
                  <w:sz w:val="18"/>
                  <w:szCs w:val="18"/>
                  <w:u w:val="single" w:color="auto"/>
                  <w:color w:val="0000EE"/>
                  <w:w w:val="91"/>
                </w:rPr>
                <w:t>32.2</w:t>
              </w:r>
            </w:hyperlink>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24"/>
        </w:trPr>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2002</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7"/>
              </w:rPr>
              <w:t>101.SCH*</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101.DEF*</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101.PRE*</w:t>
            </w:r>
          </w:p>
        </w:tc>
        <w:tc>
          <w:tcPr>
            <w:tcW w:w="10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8" w:lineRule="exact"/>
        <w:rPr>
          <w:sz w:val="20"/>
          <w:szCs w:val="20"/>
          <w:color w:val="auto"/>
        </w:rPr>
      </w:pPr>
    </w:p>
    <w:p>
      <w:pPr>
        <w:ind w:right="10040" w:firstLine="8"/>
        <w:spacing w:after="0" w:line="331" w:lineRule="auto"/>
        <w:tabs>
          <w:tab w:leader="none" w:pos="1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880" w:val="left"/>
          <w:tab w:leader="none" w:pos="654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10795</wp:posOffset>
            </wp:positionV>
            <wp:extent cx="29660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96608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5880" w:val="left"/>
          <w:tab w:leader="none" w:pos="6540" w:val="left"/>
        </w:tabs>
        <w:rPr>
          <w:sz w:val="20"/>
          <w:szCs w:val="20"/>
          <w:color w:val="auto"/>
        </w:rPr>
      </w:pPr>
      <w:r>
        <w:rPr>
          <w:rFonts w:ascii="Arial" w:cs="Arial" w:eastAsia="Arial" w:hAnsi="Arial"/>
          <w:sz w:val="18"/>
          <w:szCs w:val="18"/>
          <w:color w:val="auto"/>
        </w:rPr>
        <w:t>Date: November 16,2020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10795</wp:posOffset>
            </wp:positionV>
            <wp:extent cx="29660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96608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560"/>
        <w:spacing w:after="0"/>
        <w:tabs>
          <w:tab w:leader="none" w:pos="71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 Chief Investment Officer and</w:t>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40" w:hanging="232"/>
        <w:spacing w:after="0" w:line="259"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240" w:hanging="232"/>
        <w:spacing w:after="0" w:line="331" w:lineRule="auto"/>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40" w:hanging="232"/>
        <w:spacing w:after="0" w:line="268"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060" w:val="left"/>
          <w:tab w:leader="none" w:pos="674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jc w:val="both"/>
        <w:ind w:left="240" w:hanging="232"/>
        <w:spacing w:after="0" w:line="259"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240" w:hanging="232"/>
        <w:spacing w:after="0" w:line="331" w:lineRule="auto"/>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1" w:lineRule="exact"/>
        <w:rPr>
          <w:sz w:val="20"/>
          <w:szCs w:val="20"/>
          <w:color w:val="auto"/>
        </w:rPr>
      </w:pPr>
    </w:p>
    <w:p>
      <w:pPr>
        <w:ind w:left="240" w:hanging="232"/>
        <w:spacing w:after="0" w:line="268"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120" w:val="left"/>
          <w:tab w:leader="none" w:pos="668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10795</wp:posOffset>
            </wp:positionV>
            <wp:extent cx="28886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Bennett Kim</w:t>
      </w:r>
    </w:p>
    <w:p>
      <w:pPr>
        <w:spacing w:after="0" w:line="15"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Chief Investment Officer and</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September 30,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060" w:val="left"/>
          <w:tab w:leader="none" w:pos="6620" w:val="left"/>
        </w:tabs>
        <w:rPr>
          <w:sz w:val="20"/>
          <w:szCs w:val="20"/>
          <w:color w:val="auto"/>
        </w:rPr>
      </w:pPr>
      <w:r>
        <w:rPr>
          <w:rFonts w:ascii="Arial" w:cs="Arial" w:eastAsia="Arial" w:hAnsi="Arial"/>
          <w:sz w:val="18"/>
          <w:szCs w:val="18"/>
          <w:color w:val="auto"/>
        </w:rPr>
        <w:t>Dated: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Quarterly Report on Form 10-Q of Big Rock Partners Acquisition Corp. (the “Company”) for the quarterly period ended September 30,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400" w:val="left"/>
          <w:tab w:leader="none" w:pos="6960" w:val="left"/>
        </w:tabs>
        <w:rPr>
          <w:sz w:val="20"/>
          <w:szCs w:val="20"/>
          <w:color w:val="auto"/>
        </w:rPr>
      </w:pPr>
      <w:r>
        <w:rPr>
          <w:rFonts w:ascii="Arial" w:cs="Arial" w:eastAsia="Arial" w:hAnsi="Arial"/>
          <w:sz w:val="18"/>
          <w:szCs w:val="18"/>
          <w:color w:val="auto"/>
        </w:rPr>
        <w:t>Dated: November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10795</wp:posOffset>
            </wp:positionV>
            <wp:extent cx="27089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Financial  Officer,  Chief  Investment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2"/>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36" Type="http://schemas.openxmlformats.org/officeDocument/2006/relationships/hyperlink" Target="http://www.sec.gov/Archives/edgar/data/1719406/000165495420008001/brpa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2020-11-16T16:01:03Z</dcterms:created>
  <dcterms:modified xsi:type="dcterms:W3CDTF">2020-11-16T16:01:03Z</dcterms:modified>
</cp:coreProperties>
</file>