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nrxp-20230630x10q.htm"/>
        <w:bookmarkStart w:id="1" w:name="ksnrxp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54460698_a4fc_4659_998b_4213c10a377c"/>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June 30, 2023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001-38302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NRX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_SIwjdTEo0Wbjqj4pZwDlg_3_2"/>
      <w:bookmarkStart w:id="4" w:name="Tc_tb9Ab-0nsUicYCH3SEM_mw_3_0"/>
      <w:bookmarkStart w:id="5" w:name="Tc_sL7U-sjGzkWERi_CVGmpkg_2_2"/>
      <w:bookmarkStart w:id="6" w:name="Tc_PqQv46Hnt0CVVQe8Z-YWqg_2_0"/>
      <w:bookmarkStart w:id="7" w:name="_fc28bce3_e2cd_40eb_8324_cc79ee054828"/>
      <w:bookmarkStart w:id="8" w:name="Tc__SIwjdTEo0Wbjqj4pZwDlg_3_2"/>
      <w:bookmarkStart w:id="9" w:name="Tc_tb9Ab-0nsUicYCH3SEM_mw_3_0"/>
      <w:bookmarkStart w:id="10" w:name="Tc_sL7U-sjGzkWERi_CVGmpkg_2_2"/>
      <w:bookmarkStart w:id="11" w:name="Tc_PqQv46Hnt0CVVQe8Z-YWqg_2_0"/>
      <w:bookmarkStart w:id="12" w:name="_fc28bce3_e2cd_40eb_8324_cc79ee054828"/>
      <w:bookmarkEnd w:id="8"/>
      <w:bookmarkEnd w:id="9"/>
      <w:bookmarkEnd w:id="10"/>
      <w:bookmarkEnd w:id="11"/>
      <w:bookmarkEnd w:id="12"/>
    </w:p>
    <w:tbl>
      <w:tblPr>
        <w:tblW w:w="4176" w:type="dxa"/>
        <w:jc w:val="left"/>
        <w:tblInd w:w="0" w:type="dxa"/>
        <w:tblLayout w:type="fixed"/>
        <w:tblCellMar>
          <w:top w:w="0" w:type="dxa"/>
          <w:left w:w="0" w:type="dxa"/>
          <w:bottom w:w="0" w:type="dxa"/>
          <w:right w:w="0" w:type="dxa"/>
        </w:tblCellMar>
      </w:tblPr>
      <w:tblGrid>
        <w:gridCol w:w="2581"/>
        <w:gridCol w:w="109"/>
        <w:gridCol w:w="1486"/>
      </w:tblGrid>
      <w:tr>
        <w:trPr/>
        <w:tc>
          <w:tcPr>
            <w:tcW w:w="2581" w:type="dxa"/>
            <w:tcBorders/>
            <w:vAlign w:val="center"/>
          </w:tcPr>
          <w:p>
            <w:pPr>
              <w:pStyle w:val="TableContents"/>
              <w:bidi w:val="0"/>
              <w:spacing w:lineRule="atLeast" w:line="220" w:before="0" w:after="0"/>
              <w:ind w:left="0" w:right="0" w:hanging="0"/>
              <w:jc w:val="left"/>
              <w:rPr/>
            </w:pPr>
            <w:r>
              <w:rPr/>
              <w:t>​</w:t>
            </w:r>
          </w:p>
        </w:tc>
        <w:tc>
          <w:tcPr>
            <w:tcW w:w="109" w:type="dxa"/>
            <w:tcBorders/>
            <w:vAlign w:val="center"/>
          </w:tcPr>
          <w:p>
            <w:pPr>
              <w:pStyle w:val="TableContents"/>
              <w:bidi w:val="0"/>
              <w:spacing w:lineRule="atLeast" w:line="220" w:before="0" w:after="0"/>
              <w:ind w:left="0" w:right="0" w:hanging="0"/>
              <w:jc w:val="left"/>
              <w:rPr/>
            </w:pPr>
            <w:r>
              <w:rPr/>
              <w:t>​</w:t>
            </w:r>
          </w:p>
        </w:tc>
        <w:tc>
          <w:tcPr>
            <w:tcW w:w="1486" w:type="dxa"/>
            <w:tcBorders/>
            <w:vAlign w:val="center"/>
          </w:tcPr>
          <w:p>
            <w:pPr>
              <w:pStyle w:val="TableContents"/>
              <w:bidi w:val="0"/>
              <w:spacing w:lineRule="atLeast" w:line="220" w:before="0" w:after="0"/>
              <w:ind w:left="0" w:right="0" w:hanging="0"/>
              <w:jc w:val="left"/>
              <w:rPr/>
            </w:pPr>
            <w:r>
              <w:rPr/>
              <w:t>​</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82-2844431</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 </w:t>
                            </w:r>
                          </w:p>
                        </w:txbxContent>
                      </v:textbox>
                      <w10:wrap type="none"/>
                    </v:rect>
                  </w:pict>
                </mc:Fallback>
              </mc:AlternateContent>
            </w:r>
          </w:p>
        </w:tc>
        <w:tc>
          <w:tcPr>
            <w:tcW w:w="1486"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293370"/>
                      <wp:effectExtent l="0" t="0" r="0" b="0"/>
                      <wp:wrapNone/>
                      <wp:docPr id="4" name="Frame4"/>
                      <a:graphic xmlns:a="http://schemas.openxmlformats.org/drawingml/2006/main">
                        <a:graphicData uri="http://schemas.microsoft.com/office/word/2010/wordprocessingShape">
                          <wps:wsp>
                            <wps:cNvSpPr txBox="1"/>
                            <wps:spPr>
                              <a:xfrm>
                                <a:off x="0" y="0"/>
                                <a:ext cx="943610" cy="293370"/>
                              </a:xfrm>
                              <a:prstGeom prst="rect"/>
                              <a:solidFill>
                                <a:srgbClr val="FFFFFF"/>
                              </a:solidFill>
                            </wps:spPr>
                            <wps:txbx>
                              <w:txbxContent>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xbxContent>
                      </v:textbox>
                      <w10:wrap type="none"/>
                    </v:rect>
                  </w:pict>
                </mc:Fallback>
              </mc:AlternateConten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1201 Orange Street, Suite 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Wilmington, DE</w:t>
      </w:r>
      <w:r>
        <w:rPr>
          <w:rFonts w:ascii="Times New Roman;Times;serif" w:hAnsi="Times New Roman;Times;serif"/>
          <w:sz w:val="20"/>
        </w:rPr>
        <w:t xml:space="preserve"> </w:t>
      </w:r>
      <w:r>
        <w:rPr>
          <w:rFonts w:ascii="Times New Roman;Times;serif" w:hAnsi="Times New Roman;Times;serif"/>
          <w:b/>
          <w:sz w:val="20"/>
        </w:rPr>
        <w:t>19801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(484) 254-6134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ia-u92-qBEO1CpPLYf3tdw_1_4"/>
      <w:bookmarkStart w:id="14" w:name="Tc_Lj-bseVuCkGRbCV1-lEArQ_1_2"/>
      <w:bookmarkStart w:id="15" w:name="Tc_rxYyXqz6Fkar4sRPW6knvQ_1_0"/>
      <w:bookmarkStart w:id="16" w:name="_46711230_955e_45a7_b3c1_e49dd62ab28b"/>
      <w:bookmarkStart w:id="17" w:name="Tc_ia-u92-qBEO1CpPLYf3tdw_1_4"/>
      <w:bookmarkStart w:id="18" w:name="Tc_Lj-bseVuCkGRbCV1-lEArQ_1_2"/>
      <w:bookmarkStart w:id="19" w:name="Tc_rxYyXqz6Fkar4sRPW6knvQ_1_0"/>
      <w:bookmarkStart w:id="20" w:name="_46711230_955e_45a7_b3c1_e49dd62ab28b"/>
      <w:bookmarkEnd w:id="17"/>
      <w:bookmarkEnd w:id="18"/>
      <w:bookmarkEnd w:id="19"/>
      <w:bookmarkEnd w:id="20"/>
    </w:p>
    <w:tbl>
      <w:tblPr>
        <w:tblW w:w="9941" w:type="dxa"/>
        <w:jc w:val="left"/>
        <w:tblInd w:w="0" w:type="dxa"/>
        <w:tblLayout w:type="fixed"/>
        <w:tblCellMar>
          <w:top w:w="0" w:type="dxa"/>
          <w:left w:w="0" w:type="dxa"/>
          <w:bottom w:w="0" w:type="dxa"/>
          <w:right w:w="0" w:type="dxa"/>
        </w:tblCellMar>
      </w:tblPr>
      <w:tblGrid>
        <w:gridCol w:w="4141"/>
        <w:gridCol w:w="109"/>
        <w:gridCol w:w="1696"/>
        <w:gridCol w:w="109"/>
        <w:gridCol w:w="3886"/>
      </w:tblGrid>
      <w:tr>
        <w:trPr/>
        <w:tc>
          <w:tcPr>
            <w:tcW w:w="414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vAlign w:val="center"/>
          </w:tcPr>
          <w:p>
            <w:pPr>
              <w:pStyle w:val="TableContents"/>
              <w:bidi w:val="0"/>
              <w:spacing w:lineRule="atLeast" w:line="180" w:before="0" w:after="0"/>
              <w:ind w:left="0" w:right="0" w:hanging="0"/>
              <w:jc w:val="center"/>
              <w:rPr/>
            </w:pPr>
            <w:r>
              <w:rPr/>
              <w:t>​</w:t>
            </w:r>
          </w:p>
        </w:tc>
      </w:tr>
      <w:tr>
        <w:trPr/>
        <w:tc>
          <w:tcPr>
            <w:tcW w:w="4141"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bottom w:val="single" w:sz="8"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41"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NRXP</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top w:val="single" w:sz="8"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414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Warrants to purchase one share of Common Stock</w:t>
            </w:r>
          </w:p>
        </w:tc>
        <w:tc>
          <w:tcPr>
            <w:tcW w:w="109" w:type="dxa"/>
            <w:tcBorders/>
            <w:vAlign w:val="center"/>
          </w:tcPr>
          <w:p>
            <w:pPr>
              <w:pStyle w:val="TableContents"/>
              <w:bidi w:val="0"/>
              <w:spacing w:lineRule="atLeast" w:line="180" w:before="0" w:after="0"/>
              <w:ind w:left="0" w:right="0" w:hanging="0"/>
              <w:jc w:val="center"/>
              <w:rPr/>
            </w:pPr>
            <w:r>
              <w:rPr/>
              <w:t>​</w:t>
            </w:r>
          </w:p>
        </w:tc>
        <w:tc>
          <w:tcPr>
            <w:tcW w:w="16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NRXPW</w:t>
            </w:r>
          </w:p>
        </w:tc>
        <w:tc>
          <w:tcPr>
            <w:tcW w:w="109" w:type="dxa"/>
            <w:tcBorders/>
            <w:vAlign w:val="center"/>
          </w:tcPr>
          <w:p>
            <w:pPr>
              <w:pStyle w:val="TableContents"/>
              <w:bidi w:val="0"/>
              <w:spacing w:lineRule="atLeast" w:line="180" w:before="0" w:after="0"/>
              <w:ind w:left="0" w:right="0" w:hanging="0"/>
              <w:jc w:val="center"/>
              <w:rPr/>
            </w:pPr>
            <w:r>
              <w:rPr/>
              <w:t>​</w:t>
            </w:r>
          </w:p>
        </w:tc>
        <w:tc>
          <w:tcPr>
            <w:tcW w:w="388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Securities registered pursuant to Section 12(g) of the Act: None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333" w:type="dxa"/>
        <w:jc w:val="left"/>
        <w:tblInd w:w="0" w:type="dxa"/>
        <w:tblLayout w:type="fixed"/>
        <w:tblCellMar>
          <w:top w:w="0" w:type="dxa"/>
          <w:left w:w="0" w:type="dxa"/>
          <w:bottom w:w="0" w:type="dxa"/>
          <w:right w:w="0" w:type="dxa"/>
        </w:tblCellMar>
      </w:tblPr>
      <w:tblGrid>
        <w:gridCol w:w="1876"/>
        <w:gridCol w:w="146"/>
        <w:gridCol w:w="2311"/>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r>
              <w:rPr>
                <w:rFonts w:ascii="Segoe UI Symbol" w:hAnsi="Segoe UI Symbol"/>
                <w:sz w:val="18"/>
              </w:rPr>
              <w:br/>
            </w: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August 9, 2023, the registrant had 81,700,918 shares of common stock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
        <w:ind w:left="0" w:right="0" w:firstLine="72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shd w:fill="FFFFFF" w:val="clear"/>
        </w:rPr>
      </w:pPr>
      <w:bookmarkStart w:id="21" w:name="TOC"/>
      <w:bookmarkStart w:id="22" w:name="_ab4de748_62f7_41a0_abe9_f408847a7ad8"/>
      <w:bookmarkEnd w:id="21"/>
      <w:bookmarkEnd w:id="22"/>
      <w:r>
        <w:rPr>
          <w:shd w:fill="FFFFFF" w:val="clear"/>
        </w:rPr>
        <w:t>   </w:t>
      </w:r>
    </w:p>
    <w:tbl>
      <w:tblPr>
        <w:tblW w:w="10205" w:type="dxa"/>
        <w:jc w:val="left"/>
        <w:tblInd w:w="0" w:type="dxa"/>
        <w:tblLayout w:type="fixed"/>
        <w:tblCellMar>
          <w:top w:w="0" w:type="dxa"/>
          <w:left w:w="0" w:type="dxa"/>
          <w:bottom w:w="0" w:type="dxa"/>
          <w:right w:w="0" w:type="dxa"/>
        </w:tblCellMar>
      </w:tblPr>
      <w:tblGrid>
        <w:gridCol w:w="879"/>
        <w:gridCol w:w="8964"/>
        <w:gridCol w:w="362"/>
      </w:tblGrid>
      <w:tr>
        <w:trPr/>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58165" cy="175260"/>
                      <wp:effectExtent l="0" t="0" r="0" b="0"/>
                      <wp:wrapNone/>
                      <wp:docPr id="5" name="Frame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692140" cy="175260"/>
                      <wp:effectExtent l="0" t="0" r="0" b="0"/>
                      <wp:wrapNone/>
                      <wp:docPr id="6" name="Frame6"/>
                      <a:graphic xmlns:a="http://schemas.openxmlformats.org/drawingml/2006/main">
                        <a:graphicData uri="http://schemas.microsoft.com/office/word/2010/wordprocessingShape">
                          <wps:wsp>
                            <wps:cNvSpPr txBox="1"/>
                            <wps:spPr>
                              <a:xfrm>
                                <a:off x="0" y="0"/>
                                <a:ext cx="569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9870" cy="175260"/>
                      <wp:effectExtent l="0" t="0" r="0" b="0"/>
                      <wp:wrapNone/>
                      <wp:docPr id="7" name="Frame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250305" cy="175260"/>
                      <wp:effectExtent l="0" t="0" r="0" b="0"/>
                      <wp:wrapNone/>
                      <wp:docPr id="8" name="Frame8"/>
                      <a:graphic xmlns:a="http://schemas.openxmlformats.org/drawingml/2006/main">
                        <a:graphicData uri="http://schemas.microsoft.com/office/word/2010/wordprocessingShape">
                          <wps:wsp>
                            <wps:cNvSpPr txBox="1"/>
                            <wps:spPr>
                              <a:xfrm>
                                <a:off x="0" y="0"/>
                                <a:ext cx="6250305" cy="175260"/>
                              </a:xfrm>
                              <a:prstGeom prst="rect"/>
                              <a:solidFill>
                                <a:srgbClr val="FFFFFF"/>
                              </a:solidFill>
                            </wps:spPr>
                            <wps:txbx>
                              <w:txbxContent>
                                <w:p>
                                  <w:pPr>
                                    <w:pStyle w:val="TableContents"/>
                                    <w:pBdr/>
                                    <w:bidi w:val="0"/>
                                    <w:spacing w:before="0" w:after="30"/>
                                    <w:ind w:left="0" w:right="0" w:hanging="144"/>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center"/>
                              <w:rPr/>
                            </w:pPr>
                            <w:r>
                              <w:rPr/>
                              <w:t> </w:t>
                            </w:r>
                          </w:p>
                        </w:txbxContent>
                      </v:textbox>
                      <w10:wrap type="none"/>
                    </v:rect>
                  </w:pict>
                </mc:Fallback>
              </mc:AlternateContent>
            </w:r>
          </w:p>
        </w:tc>
        <w:tc>
          <w:tcPr>
            <w:tcW w:w="362"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9870" cy="321310"/>
                      <wp:effectExtent l="0" t="0" r="0" b="0"/>
                      <wp:wrapNone/>
                      <wp:docPr id="9" name="Frame9"/>
                      <a:graphic xmlns:a="http://schemas.openxmlformats.org/drawingml/2006/main">
                        <a:graphicData uri="http://schemas.microsoft.com/office/word/2010/wordprocessingShape">
                          <wps:wsp>
                            <wps:cNvSpPr txBox="1"/>
                            <wps:spPr>
                              <a:xfrm>
                                <a:off x="0" y="0"/>
                                <a:ext cx="229870" cy="32131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2"/>
                              </w:rPr>
                            </w:pPr>
                            <w:r>
                              <w:rPr>
                                <w:rFonts w:ascii="Times New Roman;Times;serif" w:hAnsi="Times New Roman;Times;serif"/>
                                <w:b/>
                                <w:sz w:val="22"/>
                              </w:rPr>
                              <w:t>Page</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50305" cy="146685"/>
                      <wp:effectExtent l="0" t="0" r="0" b="0"/>
                      <wp:wrapNone/>
                      <wp:docPr id="10" name="Frame10"/>
                      <a:graphic xmlns:a="http://schemas.openxmlformats.org/drawingml/2006/main">
                        <a:graphicData uri="http://schemas.microsoft.com/office/word/2010/wordprocessingShape">
                          <wps:wsp>
                            <wps:cNvSpPr txBox="1"/>
                            <wps:spPr>
                              <a:xfrm>
                                <a:off x="0" y="0"/>
                                <a:ext cx="6250305" cy="146685"/>
                              </a:xfrm>
                              <a:prstGeom prst="rect"/>
                              <a:solidFill>
                                <a:srgbClr val="FFFFFF"/>
                              </a:solidFill>
                            </wps:spPr>
                            <wps:txbx>
                              <w:txbxContent>
                                <w:p>
                                  <w:pPr>
                                    <w:pStyle w:val="TableContents"/>
                                    <w:pBdr/>
                                    <w:bidi w:val="0"/>
                                    <w:spacing w:before="0" w:after="30"/>
                                    <w:ind w:left="0" w:right="0" w:hanging="144"/>
                                    <w:jc w:val="left"/>
                                    <w:rPr/>
                                  </w:pPr>
                                  <w:hyperlink w:anchor="PARTI">
                                    <w:r>
                                      <w:rPr>
                                        <w:rStyle w:val="InternetLink"/>
                                        <w:rFonts w:ascii="Times New Roman;Times;serif" w:hAnsi="Times New Roman;Times;serif"/>
                                        <w:b/>
                                        <w:i w:val="false"/>
                                        <w:caps w:val="false"/>
                                        <w:smallCaps w:val="false"/>
                                        <w:sz w:val="20"/>
                                      </w:rPr>
                                      <w:t>PART I - 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PARTI">
                              <w:r>
                                <w:rPr>
                                  <w:rStyle w:val="InternetLink"/>
                                  <w:rFonts w:ascii="Times New Roman;Times;serif" w:hAnsi="Times New Roman;Times;serif"/>
                                  <w:b/>
                                  <w:i w:val="false"/>
                                  <w:caps w:val="false"/>
                                  <w:smallCaps w:val="false"/>
                                  <w:sz w:val="20"/>
                                </w:rPr>
                                <w:t>PART I - FINANCIAL INFORMATION</w:t>
                              </w:r>
                            </w:hyperlink>
                          </w:p>
                        </w:txbxContent>
                      </v:textbox>
                      <w10:wrap type="none"/>
                    </v:rect>
                  </w:pict>
                </mc:Fallback>
              </mc:AlternateContent>
            </w:r>
          </w:p>
        </w:tc>
        <w:tc>
          <w:tcPr>
            <w:tcW w:w="362"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870" cy="175260"/>
                      <wp:effectExtent l="0" t="0" r="0" b="0"/>
                      <wp:wrapNone/>
                      <wp:docPr id="11" name="Frame1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w:t>
                            </w:r>
                          </w:p>
                        </w:txbxContent>
                      </v:textbox>
                      <w10:wrap type="none"/>
                    </v:rect>
                  </w:pict>
                </mc:Fallback>
              </mc:AlternateConten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58165" cy="146685"/>
                      <wp:effectExtent l="0" t="0" r="0" b="0"/>
                      <wp:wrapNone/>
                      <wp:docPr id="12" name="Frame12"/>
                      <a:graphic xmlns:a="http://schemas.openxmlformats.org/drawingml/2006/main">
                        <a:graphicData uri="http://schemas.microsoft.com/office/word/2010/wordprocessingShape">
                          <wps:wsp>
                            <wps:cNvSpPr txBox="1"/>
                            <wps:spPr>
                              <a:xfrm>
                                <a:off x="0" y="0"/>
                                <a:ext cx="558165" cy="146685"/>
                              </a:xfrm>
                              <a:prstGeom prst="rect"/>
                              <a:solidFill>
                                <a:srgbClr val="FFFFFF"/>
                              </a:solidFill>
                            </wps:spPr>
                            <wps:txbx>
                              <w:txbxContent>
                                <w:p>
                                  <w:pPr>
                                    <w:pStyle w:val="TableContents"/>
                                    <w:pBdr/>
                                    <w:bidi w:val="0"/>
                                    <w:spacing w:before="0" w:after="30"/>
                                    <w:ind w:left="0" w:right="0" w:hanging="144"/>
                                    <w:jc w:val="left"/>
                                    <w:rPr/>
                                  </w:pPr>
                                  <w:hyperlink w:anchor="ITEM1FinancialStatements">
                                    <w:r>
                                      <w:rPr>
                                        <w:rStyle w:val="InternetLink"/>
                                        <w:rFonts w:ascii="Times New Roman;Times;serif" w:hAnsi="Times New Roman;Times;serif"/>
                                        <w:b/>
                                        <w:i w:val="false"/>
                                        <w:caps w:val="false"/>
                                        <w:smallCaps w:val="false"/>
                                        <w:sz w:val="20"/>
                                      </w:rPr>
                                      <w:t>ITEM 1.</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ITEM1FinancialStatements">
                              <w:r>
                                <w:rPr>
                                  <w:rStyle w:val="InternetLink"/>
                                  <w:rFonts w:ascii="Times New Roman;Times;serif" w:hAnsi="Times New Roman;Times;serif"/>
                                  <w:b/>
                                  <w:i w:val="false"/>
                                  <w:caps w:val="false"/>
                                  <w:smallCaps w:val="false"/>
                                  <w:sz w:val="20"/>
                                </w:rPr>
                                <w:t>ITEM 1.</w:t>
                              </w:r>
                            </w:hyperlink>
                          </w:p>
                        </w:txbxContent>
                      </v:textbox>
                      <w10:wrap type="none"/>
                    </v:rect>
                  </w:pict>
                </mc:Fallback>
              </mc:AlternateContent>
            </w:r>
          </w:p>
        </w:tc>
        <w:tc>
          <w:tcPr>
            <w:tcW w:w="8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692140" cy="146685"/>
                      <wp:effectExtent l="0" t="0" r="0" b="0"/>
                      <wp:wrapNone/>
                      <wp:docPr id="13" name="Frame13"/>
                      <a:graphic xmlns:a="http://schemas.openxmlformats.org/drawingml/2006/main">
                        <a:graphicData uri="http://schemas.microsoft.com/office/word/2010/wordprocessingShape">
                          <wps:wsp>
                            <wps:cNvSpPr txBox="1"/>
                            <wps:spPr>
                              <a:xfrm>
                                <a:off x="0" y="0"/>
                                <a:ext cx="5692140" cy="146685"/>
                              </a:xfrm>
                              <a:prstGeom prst="rect"/>
                              <a:solidFill>
                                <a:srgbClr val="FFFFFF"/>
                              </a:solidFill>
                            </wps:spPr>
                            <wps:txbx>
                              <w:txbxContent>
                                <w:p>
                                  <w:pPr>
                                    <w:pStyle w:val="TableContents"/>
                                    <w:bidi w:val="0"/>
                                    <w:spacing w:before="0" w:after="3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w:t>
                              </w:r>
                            </w:hyperlink>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870" cy="175260"/>
                      <wp:effectExtent l="0" t="0" r="0" b="0"/>
                      <wp:wrapNone/>
                      <wp:docPr id="14" name="Frame1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879" w:type="dxa"/>
            <w:tcBorders/>
            <w:vAlign w:val="center"/>
          </w:tcPr>
          <w:p>
            <w:pPr>
              <w:pStyle w:val="TableContents"/>
              <w:bidi w:val="0"/>
              <w:spacing w:before="0" w:after="30"/>
              <w:ind w:left="0" w:right="0" w:hanging="0"/>
              <w:jc w:val="left"/>
              <w:rPr/>
            </w:pPr>
            <w:r>
              <w:rPr/>
              <w:t>​</w:t>
            </w:r>
          </w:p>
        </w:tc>
        <w:tc>
          <w:tcPr>
            <w:tcW w:w="8964" w:type="dxa"/>
            <w:tcBorders/>
            <w:vAlign w:val="center"/>
          </w:tcPr>
          <w:p>
            <w:pPr>
              <w:pStyle w:val="TableContents"/>
              <w:bidi w:val="0"/>
              <w:spacing w:before="0" w:after="30"/>
              <w:ind w:left="0" w:right="0" w:hanging="0"/>
              <w:jc w:val="left"/>
              <w:rPr/>
            </w:pPr>
            <w:hyperlink w:anchor="CONDENSEDCONSOLIDATEDBALANCESHEETS_39844">
              <w:r>
                <w:rPr>
                  <w:rStyle w:val="InternetLink"/>
                  <w:rFonts w:ascii="Times New Roman;Times;serif" w:hAnsi="Times New Roman;Times;serif"/>
                  <w:b w:val="false"/>
                  <w:i w:val="false"/>
                  <w:caps w:val="false"/>
                  <w:smallCaps w:val="false"/>
                  <w:sz w:val="20"/>
                </w:rPr>
                <w:t>Condensed Consolidated Balance Sheets as of June 30, 2023 (Unaudited) and December 31, 2022</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79" w:type="dxa"/>
            <w:tcBorders/>
            <w:vAlign w:val="center"/>
          </w:tcPr>
          <w:p>
            <w:pPr>
              <w:pStyle w:val="TableContents"/>
              <w:bidi w:val="0"/>
              <w:spacing w:before="0" w:after="30"/>
              <w:ind w:left="0" w:right="0" w:hanging="0"/>
              <w:jc w:val="left"/>
              <w:rPr/>
            </w:pPr>
            <w:r>
              <w:rPr/>
              <w:t>​</w:t>
            </w:r>
          </w:p>
        </w:tc>
        <w:tc>
          <w:tcPr>
            <w:tcW w:w="8964" w:type="dxa"/>
            <w:tcBorders/>
            <w:vAlign w:val="center"/>
          </w:tcPr>
          <w:p>
            <w:pPr>
              <w:pStyle w:val="TableContents"/>
              <w:bidi w:val="0"/>
              <w:spacing w:before="0" w:after="30"/>
              <w:ind w:left="0" w:right="0" w:hanging="0"/>
              <w:jc w:val="left"/>
              <w:rPr/>
            </w:pPr>
            <w:hyperlink w:anchor="CONDENSEDCONSOLIDATEDSTATEMENTOFOPERATIO">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and six months ended June 30, 2023 and 2022</w:t>
              </w:r>
            </w:hyperlink>
            <w:r>
              <w:rPr>
                <w:rFonts w:ascii="Times New Roman;Times;serif" w:hAnsi="Times New Roman;Times;serif"/>
                <w:sz w:val="20"/>
              </w:rPr>
              <w:t xml:space="preserve"> </w:t>
            </w:r>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79" w:type="dxa"/>
            <w:tcBorders/>
            <w:vAlign w:val="center"/>
          </w:tcPr>
          <w:p>
            <w:pPr>
              <w:pStyle w:val="TableContents"/>
              <w:bidi w:val="0"/>
              <w:spacing w:before="0" w:after="30"/>
              <w:ind w:left="0" w:right="0" w:hanging="0"/>
              <w:jc w:val="left"/>
              <w:rPr/>
            </w:pPr>
            <w:r>
              <w:rPr/>
              <w:t>​</w:t>
            </w:r>
          </w:p>
        </w:tc>
        <w:tc>
          <w:tcPr>
            <w:tcW w:w="8964" w:type="dxa"/>
            <w:tcBorders/>
            <w:vAlign w:val="center"/>
          </w:tcPr>
          <w:p>
            <w:pPr>
              <w:pStyle w:val="TableContents"/>
              <w:bidi w:val="0"/>
              <w:spacing w:before="0" w:after="30"/>
              <w:ind w:left="0" w:right="0" w:hanging="0"/>
              <w:jc w:val="left"/>
              <w:rPr/>
            </w:pPr>
            <w:hyperlink w:anchor="STOCKHOLDERSEQUITYDEFICIT_256664">
              <w:r>
                <w:rPr>
                  <w:rStyle w:val="InternetLink"/>
                  <w:rFonts w:ascii="Times New Roman;Times;serif" w:hAnsi="Times New Roman;Times;serif"/>
                  <w:b w:val="false"/>
                  <w:i w:val="false"/>
                  <w:caps w:val="false"/>
                  <w:smallCaps w:val="false"/>
                  <w:sz w:val="20"/>
                </w:rPr>
                <w:t>Unaudited Condensed Consolidated Statements of Changes in Stockholders' (Deficit) Equity for the six months ended June 30, 2023 and 2022</w:t>
              </w:r>
            </w:hyperlink>
            <w:r>
              <w:rPr>
                <w:rFonts w:ascii="Times New Roman;Times;serif" w:hAnsi="Times New Roman;Times;serif"/>
                <w:sz w:val="20"/>
              </w:rPr>
              <w:t xml:space="preserve"> </w:t>
            </w:r>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79" w:type="dxa"/>
            <w:tcBorders/>
            <w:vAlign w:val="center"/>
          </w:tcPr>
          <w:p>
            <w:pPr>
              <w:pStyle w:val="TableContents"/>
              <w:bidi w:val="0"/>
              <w:spacing w:before="0" w:after="30"/>
              <w:ind w:left="0" w:right="0" w:hanging="0"/>
              <w:jc w:val="left"/>
              <w:rPr/>
            </w:pPr>
            <w:r>
              <w:rPr/>
              <w:t>​</w:t>
            </w:r>
          </w:p>
        </w:tc>
        <w:tc>
          <w:tcPr>
            <w:tcW w:w="8964" w:type="dxa"/>
            <w:tcBorders/>
            <w:vAlign w:val="center"/>
          </w:tcPr>
          <w:p>
            <w:pPr>
              <w:pStyle w:val="TableContents"/>
              <w:bidi w:val="0"/>
              <w:spacing w:before="0" w:after="30"/>
              <w:ind w:left="0" w:right="0" w:hanging="0"/>
              <w:jc w:val="left"/>
              <w:rPr/>
            </w:pPr>
            <w:hyperlink w:anchor="CASHFLOWS_9910">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2023 and 2022</w:t>
              </w:r>
            </w:hyperlink>
            <w:r>
              <w:rPr>
                <w:rFonts w:ascii="Times New Roman;Times;serif" w:hAnsi="Times New Roman;Times;serif"/>
                <w:sz w:val="20"/>
              </w:rPr>
              <w:t xml:space="preserve"> </w:t>
            </w:r>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79" w:type="dxa"/>
            <w:tcBorders/>
            <w:vAlign w:val="center"/>
          </w:tcPr>
          <w:p>
            <w:pPr>
              <w:pStyle w:val="TableContents"/>
              <w:bidi w:val="0"/>
              <w:spacing w:before="0" w:after="30"/>
              <w:ind w:left="0" w:right="0" w:hanging="0"/>
              <w:jc w:val="left"/>
              <w:rPr/>
            </w:pPr>
            <w:r>
              <w:rPr/>
              <w:t>​</w:t>
            </w:r>
          </w:p>
        </w:tc>
        <w:tc>
          <w:tcPr>
            <w:tcW w:w="8964" w:type="dxa"/>
            <w:tcBorders/>
            <w:vAlign w:val="center"/>
          </w:tcPr>
          <w:p>
            <w:pPr>
              <w:pStyle w:val="TableContents"/>
              <w:bidi w:val="0"/>
              <w:spacing w:before="0" w:after="30"/>
              <w:ind w:left="0" w:right="0" w:hanging="0"/>
              <w:jc w:val="left"/>
              <w:rPr/>
            </w:pPr>
            <w:hyperlink w:anchor="a1Organization_922140">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79" w:type="dxa"/>
            <w:tcBorders/>
            <w:vAlign w:val="center"/>
          </w:tcPr>
          <w:p>
            <w:pPr>
              <w:pStyle w:val="TableContents"/>
              <w:pBdr/>
              <w:bidi w:val="0"/>
              <w:spacing w:before="0" w:after="30"/>
              <w:ind w:left="0" w:right="0" w:hanging="0"/>
              <w:jc w:val="left"/>
              <w:rPr/>
            </w:pPr>
            <w:hyperlink w:anchor="Item7ManagementsDiscussionandAnalysisofF">
              <w:r>
                <w:rPr>
                  <w:rStyle w:val="InternetLink"/>
                  <w:rFonts w:ascii="Times New Roman;Times;serif" w:hAnsi="Times New Roman;Times;serif"/>
                  <w:b/>
                  <w:i w:val="false"/>
                  <w:caps w:val="false"/>
                  <w:smallCaps w:val="false"/>
                  <w:sz w:val="20"/>
                </w:rPr>
                <w:t>ITEM 2.</w:t>
              </w:r>
            </w:hyperlink>
          </w:p>
        </w:tc>
        <w:tc>
          <w:tcPr>
            <w:tcW w:w="8964" w:type="dxa"/>
            <w:tcBorders/>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79" w:type="dxa"/>
            <w:tcBorders/>
            <w:vAlign w:val="center"/>
          </w:tcPr>
          <w:p>
            <w:pPr>
              <w:pStyle w:val="TableContents"/>
              <w:pBdr/>
              <w:bidi w:val="0"/>
              <w:spacing w:before="0" w:after="3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8964"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79" w:type="dxa"/>
            <w:tcBorders/>
            <w:vAlign w:val="center"/>
          </w:tcPr>
          <w:p>
            <w:pPr>
              <w:pStyle w:val="TableContents"/>
              <w:pBdr/>
              <w:bidi w:val="0"/>
              <w:spacing w:before="0" w:after="30"/>
              <w:ind w:left="0" w:right="0" w:hanging="0"/>
              <w:jc w:val="left"/>
              <w:rPr/>
            </w:pPr>
            <w:hyperlink w:anchor="Item4ControlsandProcedures">
              <w:r>
                <w:rPr>
                  <w:rStyle w:val="InternetLink"/>
                  <w:rFonts w:ascii="Times New Roman;Times;serif" w:hAnsi="Times New Roman;Times;serif"/>
                  <w:b/>
                  <w:i w:val="false"/>
                  <w:caps w:val="false"/>
                  <w:smallCaps w:val="false"/>
                  <w:sz w:val="20"/>
                </w:rPr>
                <w:t>ITEM 4.</w:t>
              </w:r>
            </w:hyperlink>
          </w:p>
        </w:tc>
        <w:tc>
          <w:tcPr>
            <w:tcW w:w="8964" w:type="dxa"/>
            <w:tcBorders/>
            <w:vAlign w:val="center"/>
          </w:tcPr>
          <w:p>
            <w:pPr>
              <w:pStyle w:val="TableContents"/>
              <w:bidi w:val="0"/>
              <w:spacing w:before="0" w:after="3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58165" cy="175260"/>
                      <wp:effectExtent l="0" t="0" r="0" b="0"/>
                      <wp:wrapNone/>
                      <wp:docPr id="15" name="Frame1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692140" cy="175260"/>
                      <wp:effectExtent l="0" t="0" r="0" b="0"/>
                      <wp:wrapNone/>
                      <wp:docPr id="16" name="Frame16"/>
                      <a:graphic xmlns:a="http://schemas.openxmlformats.org/drawingml/2006/main">
                        <a:graphicData uri="http://schemas.microsoft.com/office/word/2010/wordprocessingShape">
                          <wps:wsp>
                            <wps:cNvSpPr txBox="1"/>
                            <wps:spPr>
                              <a:xfrm>
                                <a:off x="0" y="0"/>
                                <a:ext cx="56921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870" cy="175260"/>
                      <wp:effectExtent l="0" t="0" r="0" b="0"/>
                      <wp:wrapNone/>
                      <wp:docPr id="17" name="Frame1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984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250305" cy="146685"/>
                      <wp:effectExtent l="0" t="0" r="0" b="0"/>
                      <wp:wrapNone/>
                      <wp:docPr id="18" name="Frame18"/>
                      <a:graphic xmlns:a="http://schemas.openxmlformats.org/drawingml/2006/main">
                        <a:graphicData uri="http://schemas.microsoft.com/office/word/2010/wordprocessingShape">
                          <wps:wsp>
                            <wps:cNvSpPr txBox="1"/>
                            <wps:spPr>
                              <a:xfrm>
                                <a:off x="0" y="0"/>
                                <a:ext cx="6250305" cy="146685"/>
                              </a:xfrm>
                              <a:prstGeom prst="rect"/>
                              <a:solidFill>
                                <a:srgbClr val="FFFFFF"/>
                              </a:solidFill>
                            </wps:spPr>
                            <wps:txbx>
                              <w:txbxContent>
                                <w:p>
                                  <w:pPr>
                                    <w:pStyle w:val="TableContents"/>
                                    <w:pBdr/>
                                    <w:bidi w:val="0"/>
                                    <w:spacing w:before="0" w:after="30"/>
                                    <w:ind w:left="0" w:right="0" w:hanging="144"/>
                                    <w:jc w:val="left"/>
                                    <w:rPr/>
                                  </w:pPr>
                                  <w:hyperlink w:anchor="PARTII">
                                    <w:r>
                                      <w:rPr>
                                        <w:rStyle w:val="InternetLink"/>
                                        <w:rFonts w:ascii="Times New Roman;Times;serif" w:hAnsi="Times New Roman;Times;serif"/>
                                        <w:b/>
                                        <w:i w:val="false"/>
                                        <w:caps w:val="false"/>
                                        <w:smallCaps w:val="false"/>
                                        <w:sz w:val="20"/>
                                      </w:rPr>
                                      <w:t>PART II -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PARTII">
                              <w:r>
                                <w:rPr>
                                  <w:rStyle w:val="InternetLink"/>
                                  <w:rFonts w:ascii="Times New Roman;Times;serif" w:hAnsi="Times New Roman;Times;serif"/>
                                  <w:b/>
                                  <w:i w:val="false"/>
                                  <w:caps w:val="false"/>
                                  <w:smallCaps w:val="false"/>
                                  <w:sz w:val="20"/>
                                </w:rPr>
                                <w:t>PART II - OTHER INFORMATION</w:t>
                              </w:r>
                            </w:hyperlink>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9870" cy="175260"/>
                      <wp:effectExtent l="0" t="0" r="0" b="0"/>
                      <wp:wrapNone/>
                      <wp:docPr id="19" name="Frame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58165" cy="175260"/>
                      <wp:effectExtent l="0" t="0" r="0" b="0"/>
                      <wp:wrapNone/>
                      <wp:docPr id="20" name="Frame20"/>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8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692140" cy="175260"/>
                      <wp:effectExtent l="0" t="0" r="0" b="0"/>
                      <wp:wrapNone/>
                      <wp:docPr id="21" name="Frame21"/>
                      <a:graphic xmlns:a="http://schemas.openxmlformats.org/drawingml/2006/main">
                        <a:graphicData uri="http://schemas.microsoft.com/office/word/2010/wordprocessingShape">
                          <wps:wsp>
                            <wps:cNvSpPr txBox="1"/>
                            <wps:spPr>
                              <a:xfrm>
                                <a:off x="0" y="0"/>
                                <a:ext cx="56921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9870" cy="175260"/>
                      <wp:effectExtent l="0" t="0" r="0" b="0"/>
                      <wp:wrapNone/>
                      <wp:docPr id="22" name="Frame2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30"/>
                                    <w:ind w:left="0" w:right="0" w:hanging="0"/>
                                    <w:jc w:val="righ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pPr>
                            <w:r>
                              <w:rPr/>
                              <w:t> </w:t>
                            </w:r>
                          </w:p>
                        </w:txbxContent>
                      </v:textbox>
                      <w10:wrap type="none"/>
                    </v:rect>
                  </w:pict>
                </mc:Fallback>
              </mc:AlternateContent>
            </w:r>
          </w:p>
        </w:tc>
      </w:tr>
      <w:tr>
        <w:trPr/>
        <w:tc>
          <w:tcPr>
            <w:tcW w:w="879" w:type="dxa"/>
            <w:tcBorders/>
            <w:vAlign w:val="center"/>
          </w:tcPr>
          <w:p>
            <w:pPr>
              <w:pStyle w:val="TableContents"/>
              <w:pBdr/>
              <w:bidi w:val="0"/>
              <w:spacing w:before="0" w:after="30"/>
              <w:ind w:left="0" w:right="0" w:hanging="0"/>
              <w:jc w:val="left"/>
              <w:rPr/>
            </w:pPr>
            <w:hyperlink w:anchor="Item3LegalProceedings_886745">
              <w:r>
                <w:rPr>
                  <w:rStyle w:val="InternetLink"/>
                  <w:rFonts w:ascii="Times New Roman;Times;serif" w:hAnsi="Times New Roman;Times;serif"/>
                  <w:b/>
                  <w:i w:val="false"/>
                  <w:caps w:val="false"/>
                  <w:smallCaps w:val="false"/>
                  <w:sz w:val="20"/>
                </w:rPr>
                <w:t>ITEM 1.</w:t>
              </w:r>
            </w:hyperlink>
          </w:p>
        </w:tc>
        <w:tc>
          <w:tcPr>
            <w:tcW w:w="8964" w:type="dxa"/>
            <w:tcBorders/>
            <w:vAlign w:val="center"/>
          </w:tcPr>
          <w:p>
            <w:pPr>
              <w:pStyle w:val="TableContents"/>
              <w:bidi w:val="0"/>
              <w:spacing w:before="0" w:after="30"/>
              <w:ind w:left="0" w:right="0" w:hanging="0"/>
              <w:jc w:val="left"/>
              <w:rPr/>
            </w:pPr>
            <w:hyperlink w:anchor="Item3LegalProceedings_886745">
              <w:r>
                <w:rPr>
                  <w:rStyle w:val="InternetLink"/>
                  <w:rFonts w:ascii="Times New Roman;Times;serif" w:hAnsi="Times New Roman;Times;serif"/>
                  <w:b w:val="false"/>
                  <w:i w:val="false"/>
                  <w:caps w:val="false"/>
                  <w:smallCaps w:val="false"/>
                  <w:sz w:val="20"/>
                </w:rPr>
                <w:t>Legal Proceedings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79" w:type="dxa"/>
            <w:tcBorders/>
            <w:vAlign w:val="center"/>
          </w:tcPr>
          <w:p>
            <w:pPr>
              <w:pStyle w:val="TableContents"/>
              <w:pBdr/>
              <w:bidi w:val="0"/>
              <w:spacing w:before="0" w:after="30"/>
              <w:ind w:left="0" w:right="0" w:hanging="0"/>
              <w:jc w:val="left"/>
              <w:rPr/>
            </w:pPr>
            <w:hyperlink w:anchor="Item1A_RiskFactors">
              <w:r>
                <w:rPr>
                  <w:rStyle w:val="InternetLink"/>
                  <w:rFonts w:ascii="Times New Roman;Times;serif" w:hAnsi="Times New Roman;Times;serif"/>
                  <w:b/>
                  <w:i w:val="false"/>
                  <w:caps w:val="false"/>
                  <w:smallCaps w:val="false"/>
                  <w:sz w:val="20"/>
                </w:rPr>
                <w:t>ITEM 1A.</w:t>
              </w:r>
            </w:hyperlink>
          </w:p>
        </w:tc>
        <w:tc>
          <w:tcPr>
            <w:tcW w:w="8964" w:type="dxa"/>
            <w:tcBorders/>
            <w:vAlign w:val="center"/>
          </w:tcPr>
          <w:p>
            <w:pPr>
              <w:pStyle w:val="TableContents"/>
              <w:bidi w:val="0"/>
              <w:spacing w:before="0" w:after="30"/>
              <w:ind w:left="0" w:right="0" w:hanging="0"/>
              <w:jc w:val="left"/>
              <w:rPr/>
            </w:pPr>
            <w:hyperlink w:anchor="Item1A_RiskFactors">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79" w:type="dxa"/>
            <w:tcBorders/>
            <w:vAlign w:val="center"/>
          </w:tcPr>
          <w:p>
            <w:pPr>
              <w:pStyle w:val="TableContents"/>
              <w:pBdr/>
              <w:bidi w:val="0"/>
              <w:spacing w:before="0" w:after="3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8964"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79" w:type="dxa"/>
            <w:tcBorders/>
            <w:vAlign w:val="center"/>
          </w:tcPr>
          <w:p>
            <w:pPr>
              <w:pStyle w:val="TableContents"/>
              <w:pBdr/>
              <w:bidi w:val="0"/>
              <w:spacing w:before="0" w:after="3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w:t>
              </w:r>
            </w:hyperlink>
          </w:p>
        </w:tc>
        <w:tc>
          <w:tcPr>
            <w:tcW w:w="8964" w:type="dxa"/>
            <w:tcBorders/>
            <w:vAlign w:val="center"/>
          </w:tcPr>
          <w:p>
            <w:pPr>
              <w:pStyle w:val="TableContents"/>
              <w:bidi w:val="0"/>
              <w:spacing w:before="0" w:after="3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79" w:type="dxa"/>
            <w:tcBorders/>
            <w:vAlign w:val="center"/>
          </w:tcPr>
          <w:p>
            <w:pPr>
              <w:pStyle w:val="TableContents"/>
              <w:pBdr/>
              <w:bidi w:val="0"/>
              <w:spacing w:before="0" w:after="30"/>
              <w:ind w:left="0" w:right="0" w:hanging="0"/>
              <w:jc w:val="left"/>
              <w:rPr/>
            </w:pPr>
            <w:hyperlink w:anchor="Item4_MineSafetyDisclosures">
              <w:r>
                <w:rPr>
                  <w:rStyle w:val="InternetLink"/>
                  <w:rFonts w:ascii="Times New Roman;Times;serif" w:hAnsi="Times New Roman;Times;serif"/>
                  <w:b/>
                  <w:i w:val="false"/>
                  <w:caps w:val="false"/>
                  <w:smallCaps w:val="false"/>
                  <w:sz w:val="20"/>
                </w:rPr>
                <w:t>ITEM 4.</w:t>
              </w:r>
            </w:hyperlink>
          </w:p>
        </w:tc>
        <w:tc>
          <w:tcPr>
            <w:tcW w:w="8964" w:type="dxa"/>
            <w:tcBorders/>
            <w:vAlign w:val="center"/>
          </w:tcPr>
          <w:p>
            <w:pPr>
              <w:pStyle w:val="TableContents"/>
              <w:bidi w:val="0"/>
              <w:spacing w:before="0" w:after="30"/>
              <w:ind w:left="0" w:right="0" w:hanging="0"/>
              <w:jc w:val="left"/>
              <w:rPr/>
            </w:pPr>
            <w:hyperlink w:anchor="Item4_MineSafetyDisclosures">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79" w:type="dxa"/>
            <w:tcBorders/>
            <w:vAlign w:val="center"/>
          </w:tcPr>
          <w:p>
            <w:pPr>
              <w:pStyle w:val="TableContents"/>
              <w:pBdr/>
              <w:bidi w:val="0"/>
              <w:spacing w:before="0" w:after="30"/>
              <w:ind w:left="0" w:right="0" w:hanging="0"/>
              <w:jc w:val="left"/>
              <w:rPr/>
            </w:pPr>
            <w:hyperlink w:anchor="Item9BOtherInformation_623343">
              <w:r>
                <w:rPr>
                  <w:rStyle w:val="InternetLink"/>
                  <w:rFonts w:ascii="Times New Roman;Times;serif" w:hAnsi="Times New Roman;Times;serif"/>
                  <w:b/>
                  <w:i w:val="false"/>
                  <w:caps w:val="false"/>
                  <w:smallCaps w:val="false"/>
                  <w:sz w:val="20"/>
                </w:rPr>
                <w:t>ITEM 5.</w:t>
              </w:r>
            </w:hyperlink>
          </w:p>
        </w:tc>
        <w:tc>
          <w:tcPr>
            <w:tcW w:w="8964" w:type="dxa"/>
            <w:tcBorders/>
            <w:vAlign w:val="center"/>
          </w:tcPr>
          <w:p>
            <w:pPr>
              <w:pStyle w:val="TableContents"/>
              <w:bidi w:val="0"/>
              <w:spacing w:before="0" w:after="30"/>
              <w:ind w:left="0" w:right="0" w:hanging="0"/>
              <w:jc w:val="left"/>
              <w:rPr/>
            </w:pPr>
            <w:hyperlink w:anchor="Item9BOtherInformation_623343">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79" w:type="dxa"/>
            <w:tcBorders/>
            <w:vAlign w:val="center"/>
          </w:tcPr>
          <w:p>
            <w:pPr>
              <w:pStyle w:val="TableContents"/>
              <w:pBdr/>
              <w:bidi w:val="0"/>
              <w:spacing w:before="0" w:after="30"/>
              <w:ind w:left="0" w:right="0" w:hanging="0"/>
              <w:jc w:val="left"/>
              <w:rPr/>
            </w:pPr>
            <w:hyperlink w:anchor="Item15Exhibits_Financial_Statement">
              <w:r>
                <w:rPr>
                  <w:rStyle w:val="InternetLink"/>
                  <w:rFonts w:ascii="Times New Roman;Times;serif" w:hAnsi="Times New Roman;Times;serif"/>
                  <w:b/>
                  <w:i w:val="false"/>
                  <w:caps w:val="false"/>
                  <w:smallCaps w:val="false"/>
                  <w:sz w:val="20"/>
                </w:rPr>
                <w:t>ITEM 6.</w:t>
              </w:r>
            </w:hyperlink>
          </w:p>
        </w:tc>
        <w:tc>
          <w:tcPr>
            <w:tcW w:w="8964" w:type="dxa"/>
            <w:tcBorders/>
            <w:vAlign w:val="center"/>
          </w:tcPr>
          <w:p>
            <w:pPr>
              <w:pStyle w:val="TableContents"/>
              <w:bidi w:val="0"/>
              <w:spacing w:before="0" w:after="30"/>
              <w:ind w:left="0" w:right="0" w:hanging="0"/>
              <w:jc w:val="left"/>
              <w:rPr/>
            </w:pPr>
            <w:hyperlink w:anchor="Item15Exhibits_Financial_Statement">
              <w:r>
                <w:rPr>
                  <w:rStyle w:val="InternetLink"/>
                  <w:rFonts w:ascii="Times New Roman;Times;serif" w:hAnsi="Times New Roman;Times;serif"/>
                  <w:b w:val="false"/>
                  <w:i w:val="false"/>
                  <w:caps w:val="false"/>
                  <w:smallCaps w:val="false"/>
                  <w:sz w:val="20"/>
                </w:rPr>
                <w:t>Exhibits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843" w:type="dxa"/>
            <w:gridSpan w:val="2"/>
            <w:tcBorders/>
            <w:vAlign w:val="center"/>
          </w:tcPr>
          <w:p>
            <w:pPr>
              <w:pStyle w:val="TableContents"/>
              <w:pBdr/>
              <w:bidi w:val="0"/>
              <w:spacing w:before="0" w:after="30"/>
              <w:ind w:left="0" w:right="0" w:hanging="0"/>
              <w:jc w:val="left"/>
              <w:rPr/>
            </w:pPr>
            <w:hyperlink w:anchor="SIGNATURES_790307">
              <w:r>
                <w:rPr>
                  <w:rStyle w:val="InternetLink"/>
                  <w:rFonts w:ascii="Times New Roman;Times;serif" w:hAnsi="Times New Roman;Times;serif"/>
                  <w:b/>
                  <w:i w:val="false"/>
                  <w:caps w:val="false"/>
                  <w:smallCaps w:val="false"/>
                  <w:sz w:val="20"/>
                </w:rPr>
                <w:t>SIGNATURES</w:t>
              </w:r>
            </w:hyperlink>
          </w:p>
        </w:tc>
        <w:tc>
          <w:tcPr>
            <w:tcW w:w="362"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
      <w:bookmarkStart w:id="24" w:name="_f723001f_02a6_4a00_ab54_15e41a4f5466"/>
      <w:bookmarkEnd w:id="23"/>
      <w:bookmarkEnd w:id="2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25" w:name="ITEM1FinancialStatements"/>
      <w:bookmarkEnd w:id="25"/>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39844"/>
      <w:bookmarkEnd w:id="26"/>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 w:name="Tc_aRT_rtptn0-So3dACx99Xw_29_5"/>
      <w:bookmarkStart w:id="28" w:name="Tc_I3d5UBH2hkSoG3ljG4EktA_29_2"/>
      <w:bookmarkStart w:id="29" w:name="Tc_BWWiM5_gT0a3Hpo-6zVn1w_29_0"/>
      <w:bookmarkStart w:id="30" w:name="Tc_gCGhiAXXTUGNhnEHBnkTTA_28_0"/>
      <w:bookmarkStart w:id="31" w:name="Tc_tZQ6XU004UGJc6uo2QnYaw_27_0"/>
      <w:bookmarkStart w:id="32" w:name="Tc_IIESGBAMj0Ch2O_bpEb8yg_26_6"/>
      <w:bookmarkStart w:id="33" w:name="Tc_xdPgHewIyk-2VC-8Ww2tPA_26_0"/>
      <w:bookmarkStart w:id="34" w:name="Tc_CgMMiUkIx0qT55kSeiEVyA_25_0"/>
      <w:bookmarkStart w:id="35" w:name="Tc_caJAbIVzGEmVw7WeyAX7Jw_24_0"/>
      <w:bookmarkStart w:id="36" w:name="_364d65d1_4cdc_48b7_a0a2_9efa80ed79ac_3"/>
      <w:bookmarkStart w:id="37" w:name="_364d65d1_4cdc_48b7_a0a2_9efa80ed79ac_2"/>
      <w:bookmarkStart w:id="38" w:name="_364d65d1_4cdc_48b7_a0a2_9efa80ed79ac"/>
      <w:bookmarkStart w:id="39" w:name="Tc_psl2qbw6XkKMFdHKhOAKBg_23_0"/>
      <w:bookmarkStart w:id="40" w:name="Tc_cHGLxbg9V0qC6k7CT--_7g_21_5"/>
      <w:bookmarkStart w:id="41" w:name="Tc_Fe6jOTnAcEymahNuzhxUbA_21_2"/>
      <w:bookmarkStart w:id="42" w:name="Tc__YxMFyRXPU-FhgqkndWzBg_21_0"/>
      <w:bookmarkStart w:id="43" w:name="Tc_7efA7jJf4UWMl2ofObNRdw_20_3"/>
      <w:bookmarkStart w:id="44" w:name="Tc_MNonkd27z0KFck4V-JHY8g_20_0"/>
      <w:bookmarkStart w:id="45" w:name="Tc_nIuTvO7aAEGKReNX-qMivw_19_0"/>
      <w:bookmarkStart w:id="46" w:name="Tc_7pE8cnUQLkmFgFv8DXL50w_18_0"/>
      <w:bookmarkStart w:id="47" w:name="Tc_xoWx8OLXZkuUhxXKspsUoA_17_6"/>
      <w:bookmarkStart w:id="48" w:name="Tc_b-d3MkiwHE2NlTubXLdTjQ_17_0"/>
      <w:bookmarkStart w:id="49" w:name="Tc_0M3KI9MFk0OMBpkRu1n-fQ_16_0"/>
      <w:bookmarkStart w:id="50" w:name="Tc_Jc4YPWsT40isL4Bu7c2F9Q_15_0"/>
      <w:bookmarkStart w:id="51" w:name="Tc_pJOQwjGLs0CeyUj2Z_VAjA_14_0"/>
      <w:bookmarkStart w:id="52" w:name="Tc_6Pp3fN1kR061vEfJqxCw9Q_13_5"/>
      <w:bookmarkStart w:id="53" w:name="Tc_tje64HmMgk2YearitRXyHw_13_2"/>
      <w:bookmarkStart w:id="54" w:name="Tc_kWR2ToxJVEeRXnCKfjEqEQ_13_0"/>
      <w:bookmarkStart w:id="55" w:name="Tc_tw3ii4vGhUiaSeYBBMgCgw_12_0"/>
      <w:bookmarkStart w:id="56" w:name="Tc_8UiOYu8VC0KNXk5Gus3Lrg_11_0"/>
      <w:bookmarkStart w:id="57" w:name="Tc_z6tDrrp2eEyOVb829QZ9lg_10_5"/>
      <w:bookmarkStart w:id="58" w:name="Tc_hzBXMXbOl0G7biloMlgi4g_10_2"/>
      <w:bookmarkStart w:id="59" w:name="Tc_d6fbYIqzkUuYGI3hPs2hqg_10_0"/>
      <w:bookmarkStart w:id="60" w:name="Tc_wagA_TNf-kSBy01TT4bWIg_9_0"/>
      <w:bookmarkStart w:id="61" w:name="Tc_v5kHcw_OREiGfpPzyI5GsA_8_0"/>
      <w:bookmarkStart w:id="62" w:name="Tc_HS67IjArFEigPgmskO46oA_7_0"/>
      <w:bookmarkStart w:id="63" w:name="Tc_2T-J_5d_nES8iyLPSLtu9A_6_5"/>
      <w:bookmarkStart w:id="64" w:name="Tc_dVfznCu5UUew4xx7O8-0vw_6_2"/>
      <w:bookmarkStart w:id="65" w:name="Tc_1HBJFApplUmxzmvWjFvh8Q_6_0"/>
      <w:bookmarkStart w:id="66" w:name="Tc_mmJE8qFqeEW2pxf5cNiGEA_5_0"/>
      <w:bookmarkStart w:id="67" w:name="Tc_Pta5snSsXUm2eKzUG_5Ipw_4_0"/>
      <w:bookmarkStart w:id="68" w:name="Tc_NZhW2iwotkeNZDt9fK-2yQ_3_2"/>
      <w:bookmarkStart w:id="69" w:name="Tc_iarTCI1q9EaWfY48QTk-qg_2_5"/>
      <w:bookmarkStart w:id="70" w:name="Tc_9uumjBb0L0-evwQAF9E3Nw_2_2"/>
      <w:bookmarkStart w:id="71" w:name="_b99fb568_34d5_4999_b543_f683d28174b3"/>
      <w:bookmarkStart w:id="72" w:name="Tc_aRT_rtptn0-So3dACx99Xw_29_5"/>
      <w:bookmarkStart w:id="73" w:name="Tc_I3d5UBH2hkSoG3ljG4EktA_29_2"/>
      <w:bookmarkStart w:id="74" w:name="Tc_BWWiM5_gT0a3Hpo-6zVn1w_29_0"/>
      <w:bookmarkStart w:id="75" w:name="Tc_gCGhiAXXTUGNhnEHBnkTTA_28_0"/>
      <w:bookmarkStart w:id="76" w:name="Tc_tZQ6XU004UGJc6uo2QnYaw_27_0"/>
      <w:bookmarkStart w:id="77" w:name="Tc_IIESGBAMj0Ch2O_bpEb8yg_26_6"/>
      <w:bookmarkStart w:id="78" w:name="Tc_xdPgHewIyk-2VC-8Ww2tPA_26_0"/>
      <w:bookmarkStart w:id="79" w:name="Tc_CgMMiUkIx0qT55kSeiEVyA_25_0"/>
      <w:bookmarkStart w:id="80" w:name="Tc_caJAbIVzGEmVw7WeyAX7Jw_24_0"/>
      <w:bookmarkStart w:id="81" w:name="_364d65d1_4cdc_48b7_a0a2_9efa80ed79ac_3"/>
      <w:bookmarkStart w:id="82" w:name="_364d65d1_4cdc_48b7_a0a2_9efa80ed79ac_2"/>
      <w:bookmarkStart w:id="83" w:name="_364d65d1_4cdc_48b7_a0a2_9efa80ed79ac"/>
      <w:bookmarkStart w:id="84" w:name="Tc_psl2qbw6XkKMFdHKhOAKBg_23_0"/>
      <w:bookmarkStart w:id="85" w:name="Tc_cHGLxbg9V0qC6k7CT--_7g_21_5"/>
      <w:bookmarkStart w:id="86" w:name="Tc_Fe6jOTnAcEymahNuzhxUbA_21_2"/>
      <w:bookmarkStart w:id="87" w:name="Tc__YxMFyRXPU-FhgqkndWzBg_21_0"/>
      <w:bookmarkStart w:id="88" w:name="Tc_7efA7jJf4UWMl2ofObNRdw_20_3"/>
      <w:bookmarkStart w:id="89" w:name="Tc_MNonkd27z0KFck4V-JHY8g_20_0"/>
      <w:bookmarkStart w:id="90" w:name="Tc_nIuTvO7aAEGKReNX-qMivw_19_0"/>
      <w:bookmarkStart w:id="91" w:name="Tc_7pE8cnUQLkmFgFv8DXL50w_18_0"/>
      <w:bookmarkStart w:id="92" w:name="Tc_xoWx8OLXZkuUhxXKspsUoA_17_6"/>
      <w:bookmarkStart w:id="93" w:name="Tc_b-d3MkiwHE2NlTubXLdTjQ_17_0"/>
      <w:bookmarkStart w:id="94" w:name="Tc_0M3KI9MFk0OMBpkRu1n-fQ_16_0"/>
      <w:bookmarkStart w:id="95" w:name="Tc_Jc4YPWsT40isL4Bu7c2F9Q_15_0"/>
      <w:bookmarkStart w:id="96" w:name="Tc_pJOQwjGLs0CeyUj2Z_VAjA_14_0"/>
      <w:bookmarkStart w:id="97" w:name="Tc_6Pp3fN1kR061vEfJqxCw9Q_13_5"/>
      <w:bookmarkStart w:id="98" w:name="Tc_tje64HmMgk2YearitRXyHw_13_2"/>
      <w:bookmarkStart w:id="99" w:name="Tc_kWR2ToxJVEeRXnCKfjEqEQ_13_0"/>
      <w:bookmarkStart w:id="100" w:name="Tc_tw3ii4vGhUiaSeYBBMgCgw_12_0"/>
      <w:bookmarkStart w:id="101" w:name="Tc_8UiOYu8VC0KNXk5Gus3Lrg_11_0"/>
      <w:bookmarkStart w:id="102" w:name="Tc_z6tDrrp2eEyOVb829QZ9lg_10_5"/>
      <w:bookmarkStart w:id="103" w:name="Tc_hzBXMXbOl0G7biloMlgi4g_10_2"/>
      <w:bookmarkStart w:id="104" w:name="Tc_d6fbYIqzkUuYGI3hPs2hqg_10_0"/>
      <w:bookmarkStart w:id="105" w:name="Tc_wagA_TNf-kSBy01TT4bWIg_9_0"/>
      <w:bookmarkStart w:id="106" w:name="Tc_v5kHcw_OREiGfpPzyI5GsA_8_0"/>
      <w:bookmarkStart w:id="107" w:name="Tc_HS67IjArFEigPgmskO46oA_7_0"/>
      <w:bookmarkStart w:id="108" w:name="Tc_2T-J_5d_nES8iyLPSLtu9A_6_5"/>
      <w:bookmarkStart w:id="109" w:name="Tc_dVfznCu5UUew4xx7O8-0vw_6_2"/>
      <w:bookmarkStart w:id="110" w:name="Tc_1HBJFApplUmxzmvWjFvh8Q_6_0"/>
      <w:bookmarkStart w:id="111" w:name="Tc_mmJE8qFqeEW2pxf5cNiGEA_5_0"/>
      <w:bookmarkStart w:id="112" w:name="Tc_Pta5snSsXUm2eKzUG_5Ipw_4_0"/>
      <w:bookmarkStart w:id="113" w:name="Tc_NZhW2iwotkeNZDt9fK-2yQ_3_2"/>
      <w:bookmarkStart w:id="114" w:name="Tc_iarTCI1q9EaWfY48QTk-qg_2_5"/>
      <w:bookmarkStart w:id="115" w:name="Tc_9uumjBb0L0-evwQAF9E3Nw_2_2"/>
      <w:bookmarkStart w:id="116" w:name="_b99fb568_34d5_4999_b543_f683d28174b3"/>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10205" w:type="dxa"/>
        <w:jc w:val="left"/>
        <w:tblInd w:w="0" w:type="dxa"/>
        <w:tblLayout w:type="fixed"/>
        <w:tblCellMar>
          <w:top w:w="0" w:type="dxa"/>
          <w:left w:w="0" w:type="dxa"/>
          <w:bottom w:w="0" w:type="dxa"/>
          <w:right w:w="0" w:type="dxa"/>
        </w:tblCellMar>
      </w:tblPr>
      <w:tblGrid>
        <w:gridCol w:w="7358"/>
        <w:gridCol w:w="326"/>
        <w:gridCol w:w="211"/>
        <w:gridCol w:w="871"/>
        <w:gridCol w:w="146"/>
        <w:gridCol w:w="241"/>
        <w:gridCol w:w="1052"/>
      </w:tblGrid>
      <w:tr>
        <w:trPr/>
        <w:tc>
          <w:tcPr>
            <w:tcW w:w="7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672330" cy="175260"/>
                      <wp:effectExtent l="0" t="0" r="0" b="0"/>
                      <wp:wrapNone/>
                      <wp:docPr id="23" name="Frame23"/>
                      <a:graphic xmlns:a="http://schemas.openxmlformats.org/drawingml/2006/main">
                        <a:graphicData uri="http://schemas.microsoft.com/office/word/2010/wordprocessingShape">
                          <wps:wsp>
                            <wps:cNvSpPr txBox="1"/>
                            <wps:spPr>
                              <a:xfrm>
                                <a:off x="0" y="0"/>
                                <a:ext cx="4672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3085" cy="175260"/>
                      <wp:effectExtent l="0" t="0" r="0" b="0"/>
                      <wp:wrapNone/>
                      <wp:docPr id="26" name="Frame2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3035" cy="175260"/>
                      <wp:effectExtent l="0" t="0" r="0" b="0"/>
                      <wp:wrapNone/>
                      <wp:docPr id="28" name="Frame2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8020" cy="175260"/>
                      <wp:effectExtent l="0" t="0" r="0" b="0"/>
                      <wp:wrapNone/>
                      <wp:docPr id="29" name="Frame2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21" w:type="dxa"/>
            <w:gridSpan w:val="5"/>
            <w:tcBorders/>
            <w:vAlign w:val="center"/>
          </w:tcPr>
          <w:p>
            <w:pPr>
              <w:pStyle w:val="TableContents"/>
              <w:bidi w:val="0"/>
              <w:spacing w:before="0" w:after="1"/>
              <w:ind w:left="0" w:right="0" w:hanging="0"/>
              <w:jc w:val="center"/>
              <w:rPr/>
            </w:pPr>
            <w:r>
              <w:rPr/>
              <w:t>​</w:t>
            </w:r>
          </w:p>
        </w:tc>
      </w:tr>
      <w:tr>
        <w:trPr/>
        <w:tc>
          <w:tcPr>
            <w:tcW w:w="7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46" w:type="dxa"/>
            <w:tcBorders/>
            <w:vAlign w:val="center"/>
          </w:tcPr>
          <w:p>
            <w:pPr>
              <w:pStyle w:val="TableContents"/>
              <w:bidi w:val="0"/>
              <w:spacing w:before="0" w:after="1"/>
              <w:ind w:left="0" w:right="0" w:hanging="0"/>
              <w:jc w:val="center"/>
              <w:rPr/>
            </w:pPr>
            <w:r>
              <w:rPr/>
              <w:t>​</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7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1052" w:type="dxa"/>
            <w:tcBorders/>
            <w:vAlign w:val="center"/>
          </w:tcPr>
          <w:p>
            <w:pPr>
              <w:pStyle w:val="TableContents"/>
              <w:bidi w:val="0"/>
              <w:spacing w:before="0" w:after="1"/>
              <w:ind w:left="0" w:right="0" w:hanging="0"/>
              <w:jc w:val="center"/>
              <w:rPr/>
            </w:pPr>
            <w:r>
              <w:rPr/>
              <w:t>​</w:t>
            </w:r>
          </w:p>
        </w:tc>
      </w:tr>
      <w:tr>
        <w:trPr/>
        <w:tc>
          <w:tcPr>
            <w:tcW w:w="7358"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pPr>
            <w:r>
              <w:rPr/>
              <w:t>  </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41"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pPr>
            <w:r>
              <w:rPr/>
              <w:t>  </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14,969</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20,054</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4,819</w:t>
            </w:r>
          </w:p>
        </w:tc>
        <w:tc>
          <w:tcPr>
            <w:tcW w:w="1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5,741</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19,788</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25,795</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19,809</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25,816</w:t>
            </w:r>
          </w:p>
        </w:tc>
      </w:tr>
      <w:tr>
        <w:trPr/>
        <w:tc>
          <w:tcPr>
            <w:tcW w:w="7358"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(DEFICIT)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pPr>
            <w:r>
              <w:rPr/>
              <w:t>  </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pPr>
            <w:r>
              <w:rPr/>
              <w:t>  </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5,783</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clinical site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and accrued interest - short term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12,692</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D&amp;O insurance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pPr>
            <w:r>
              <w:rPr/>
              <w:t>—</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22,617</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15,585</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and accrued interest - long term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22,617</w:t>
            </w:r>
          </w:p>
        </w:tc>
        <w:tc>
          <w:tcPr>
            <w:tcW w:w="1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18,407</w:t>
            </w:r>
          </w:p>
        </w:tc>
      </w:tr>
      <w:tr>
        <w:trPr/>
        <w:tc>
          <w:tcPr>
            <w:tcW w:w="73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52" w:type="dxa"/>
            <w:tcBorders/>
            <w:shd w:fill="CCEEFF" w:val="clear"/>
            <w:vAlign w:val="center"/>
          </w:tcPr>
          <w:p>
            <w:pPr>
              <w:pStyle w:val="TableContents"/>
              <w:bidi w:val="0"/>
              <w:spacing w:before="0" w:after="1"/>
              <w:ind w:left="0" w:right="0" w:hanging="0"/>
              <w:jc w:val="right"/>
              <w:rPr/>
            </w:pPr>
            <w:r>
              <w:rPr/>
              <w:t>​</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50,000,000 shares authorized; 0 shares issued and outstanding at June 30,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5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500,000,000 shares authorized; 80,388,330 and 66,442,989 shares issued and outstanding at </w:t>
            </w:r>
            <w:r>
              <w:rPr>
                <w:rFonts w:ascii="Times New Roman;Times;serif" w:hAnsi="Times New Roman;Times;serif"/>
                <w:b w:val="false"/>
                <w:i w:val="false"/>
                <w:caps w:val="false"/>
                <w:smallCaps w:val="false"/>
                <w:sz w:val="20"/>
              </w:rPr>
              <w:t>June 30, 2023</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December 31, 2022</w:t>
            </w:r>
            <w:r>
              <w:rPr>
                <w:rFonts w:ascii="Times New Roman;Times;serif" w:hAnsi="Times New Roman;Times;serif"/>
                <w:sz w:val="20"/>
              </w:rPr>
              <w:t>,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239,887</w:t>
            </w:r>
          </w:p>
        </w:tc>
        <w:tc>
          <w:tcPr>
            <w:tcW w:w="1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230,339</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pPr>
            <w:r>
              <w:rPr/>
              <w:t>—</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(242,753)</w:t>
            </w:r>
          </w:p>
        </w:tc>
        <w:tc>
          <w:tcPr>
            <w:tcW w:w="1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(222,997)</w:t>
            </w:r>
          </w:p>
        </w:tc>
      </w:tr>
      <w:tr>
        <w:trPr/>
        <w:tc>
          <w:tcPr>
            <w:tcW w:w="7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1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7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19,809</w:t>
            </w:r>
          </w:p>
        </w:tc>
        <w:tc>
          <w:tcPr>
            <w:tcW w:w="1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25,816</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117" w:name="_67253bc7_3f30_46f6_bb43_4f58094ef448"/>
      <w:bookmarkEnd w:id="117"/>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sz w:val="20"/>
        </w:rPr>
      </w:pPr>
      <w:bookmarkStart w:id="118" w:name="CONDENSEDCONSOLIDATEDSTATEMENTOFOPERATIO"/>
      <w:bookmarkEnd w:id="118"/>
      <w:r>
        <w:rPr>
          <w:rFonts w:ascii="Times New Roman;Times;serif" w:hAnsi="Times New Roman;Times;serif"/>
          <w:b/>
          <w:sz w:val="20"/>
        </w:rPr>
        <w:t>CONDENSED CONSOLIDATED STATEMENTS OF OPERATIONS</w:t>
      </w:r>
      <w:r>
        <w:rPr>
          <w:rFonts w:ascii="Times New Roman;Times;serif" w:hAnsi="Times New Roman;Times;serif"/>
          <w:sz w:val="20"/>
        </w:rPr>
        <w:t xml:space="preserve"> </w:t>
      </w:r>
      <w:r>
        <w:rPr>
          <w:rFonts w:ascii="Times New Roman;Times;serif" w:hAnsi="Times New Roman;Times;serif"/>
          <w:b/>
          <w:sz w:val="20"/>
        </w:rPr>
        <w:t>AND COMPREHENSIVE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9" w:name="Tc_Vw6WOZ0I0ECzl8qq8qiGFA_24_0"/>
      <w:bookmarkStart w:id="120" w:name="Tc_hH_4914NpUy8vIHE67aOeQ_23_0"/>
      <w:bookmarkStart w:id="121" w:name="Tc_cybFVsKHhEuLCyZHNfqo6g_22_11"/>
      <w:bookmarkStart w:id="122" w:name="Tc_5u2HodJ_FUK65mL67u6TKQ_22_8"/>
      <w:bookmarkStart w:id="123" w:name="Tc_F35j3ZGLKkqemmtQP9QSSg_22_5"/>
      <w:bookmarkStart w:id="124" w:name="Tc_f4vdi9he1U24jnn16IldBg_22_2"/>
      <w:bookmarkStart w:id="125" w:name="Tc_Q019QNWKaU6_2NoGuSS0oQ_22_0"/>
      <w:bookmarkStart w:id="126" w:name="Tc_cJ7ipoBuPEil5eu2nWN9Qg_21_0"/>
      <w:bookmarkStart w:id="127" w:name="Tc_obyyVK6OC0K6m0tazhds9g_20_11"/>
      <w:bookmarkStart w:id="128" w:name="Tc_f_OpGERT_UWUi-9sn9L6FQ_20_8"/>
      <w:bookmarkStart w:id="129" w:name="Tc_blXpft95QEmN1pRXqQt1yw_20_5"/>
      <w:bookmarkStart w:id="130" w:name="Tc_Swkm0aCAvkOf30SEN9z6uA_20_2"/>
      <w:bookmarkStart w:id="131" w:name="Tc_XGdBB1xG5EO8yUIjBWfX0A_20_0"/>
      <w:bookmarkStart w:id="132" w:name="Tc_qEyJDz85PkiZtM4Tbh7Ixg_19_12"/>
      <w:bookmarkStart w:id="133" w:name="Tc__jjcV_62OEyE4U4mMCIt5g_19_6"/>
      <w:bookmarkStart w:id="134" w:name="Tc_Ay3emkusRESclO8tncdeTA_19_0"/>
      <w:bookmarkStart w:id="135" w:name="Tc_RMZ5flMrBUyeKJ0_-Uw2Ow_18_12"/>
      <w:bookmarkStart w:id="136" w:name="Tc_nsr-uMDZ5U-FC6A0q_foCg_18_6"/>
      <w:bookmarkStart w:id="137" w:name="Tc_7bwoFVdbukGZsQ_wZGCycA_18_0"/>
      <w:bookmarkStart w:id="138" w:name="Tc_RF5noQwbY0yakKpFORqI9A_17_11"/>
      <w:bookmarkStart w:id="139" w:name="Tc_bxX9mYnVn0uqZvb_cfdiOQ_17_8"/>
      <w:bookmarkStart w:id="140" w:name="Tc_LaMCsfuc_Eix4zDN9fVnMA_17_5"/>
      <w:bookmarkStart w:id="141" w:name="Tc_6jtuNgCxrUiVtZx7QikIUg_17_2"/>
      <w:bookmarkStart w:id="142" w:name="Tc_wMoY8mpPnUeRTCsKT6T52A_17_0"/>
      <w:bookmarkStart w:id="143" w:name="Tc_mrYjZl5qbEyeODiAHTELBQ_16_0"/>
      <w:bookmarkStart w:id="144" w:name="Tc_QREp2QD1EkmP_JLm9i04kw_15_9"/>
      <w:bookmarkStart w:id="145" w:name="Tc_NlR0enRBXEig40ePr59pag_15_3"/>
      <w:bookmarkStart w:id="146" w:name="Tc_8BTtvj_9vkCYNVywoQJmhQ_15_0"/>
      <w:bookmarkStart w:id="147" w:name="Tc_6r4pGBMUmkaRjabbfMnS4w_14_0"/>
      <w:bookmarkStart w:id="148" w:name="Tc_xpkAYVNzzUmTY6an91v8XA_13_12"/>
      <w:bookmarkStart w:id="149" w:name="Tc_2E9PylrClUyLRUtke1840Q_13_6"/>
      <w:bookmarkStart w:id="150" w:name="Tc_i7crArdrB0Sf3ffvQkADsA_13_0"/>
      <w:bookmarkStart w:id="151" w:name="Tc_O6tcSK6c1EqAgbW58XrLfg_12_9"/>
      <w:bookmarkStart w:id="152" w:name="Tc_AbM3dbZo80qsgkWoiplVng_12_6"/>
      <w:bookmarkStart w:id="153" w:name="Tc_sU14zZVL20mZFMAK1XVGkg_12_3"/>
      <w:bookmarkStart w:id="154" w:name="Tc_k2LKE4qMqkuSuGV97ESOoA_12_0"/>
      <w:bookmarkStart w:id="155" w:name="Tc_-Pyqx8jf8UaxskeVOxw2zA_11_0"/>
      <w:bookmarkStart w:id="156" w:name="Tc_j7Y3cZnt8kCXzwO4l2gs8g_10_0"/>
      <w:bookmarkStart w:id="157" w:name="Tc_ijnHPrl1nEmsLPj8QIyg3Q_9_0"/>
      <w:bookmarkStart w:id="158" w:name="Tc_JOq9hbucV0ip-RMeig9Xiw_8_0"/>
      <w:bookmarkStart w:id="159" w:name="Tc_IwiaUsK0r0ac1o_b35WJEg_7_12"/>
      <w:bookmarkStart w:id="160" w:name="Tc_C6bcp26v-k-52R_GfnbZEw_7_6"/>
      <w:bookmarkStart w:id="161" w:name="Tc_U0WDgzyacEWwE1IrbIVMSQ_7_0"/>
      <w:bookmarkStart w:id="162" w:name="Tc_Ah9jn9Fa9UOSeW71rAs9sA_6_0"/>
      <w:bookmarkStart w:id="163" w:name="Tc_9mHfSTu0jkWNO76B3lhNnw_5_11"/>
      <w:bookmarkStart w:id="164" w:name="Tc_qFNVWMu9TEWmYcfk12q9zQ_5_8"/>
      <w:bookmarkStart w:id="165" w:name="Tc_-AWHRLpIOU6XHgMsXmETZw_5_5"/>
      <w:bookmarkStart w:id="166" w:name="Tc_qKUfYMshlEyfYAHevISJ1g_5_2"/>
      <w:bookmarkStart w:id="167" w:name="Tc_X8D3LJJeLk2HLuBQIBJZ7Q_5_0"/>
      <w:bookmarkStart w:id="168" w:name="Tc_xu1wVsh9xkCuJDxRtlzIQg_4_0"/>
      <w:bookmarkStart w:id="169" w:name="Tc_PzGeGKsiRk-avK_x7RYPxQ_3_11"/>
      <w:bookmarkStart w:id="170" w:name="Tc_4FSFFwOmo0SUAUHR2gjWeA_3_8"/>
      <w:bookmarkStart w:id="171" w:name="Tc_CgIk2obDUUSzWhQ1VKy4Hg_3_5"/>
      <w:bookmarkStart w:id="172" w:name="Tc_dHKLQ4PgZUuaO0Idoi80BA_3_2"/>
      <w:bookmarkStart w:id="173" w:name="Tc_dj4CfLkaP0-DmufWNu0JWA_2_8"/>
      <w:bookmarkStart w:id="174" w:name="Tc_2WmKa5RqBUSDFeOqn0cUgg_2_2"/>
      <w:bookmarkStart w:id="175" w:name="Tc_QF9kSk1rGUaa1dFWuSXJQA_1_8"/>
      <w:bookmarkStart w:id="176" w:name="Tc__2Zh6SvYQ0iKOqao1J0Dbg_1_2"/>
      <w:bookmarkStart w:id="177" w:name="_2febb93b_8b3c_490d_bd9a_aaed984714a7"/>
      <w:bookmarkStart w:id="178" w:name="_a333e619_3ddb_467e_af51_90319ed90685"/>
      <w:bookmarkStart w:id="179" w:name="Tc_Vw6WOZ0I0ECzl8qq8qiGFA_24_0"/>
      <w:bookmarkStart w:id="180" w:name="Tc_hH_4914NpUy8vIHE67aOeQ_23_0"/>
      <w:bookmarkStart w:id="181" w:name="Tc_cybFVsKHhEuLCyZHNfqo6g_22_11"/>
      <w:bookmarkStart w:id="182" w:name="Tc_5u2HodJ_FUK65mL67u6TKQ_22_8"/>
      <w:bookmarkStart w:id="183" w:name="Tc_F35j3ZGLKkqemmtQP9QSSg_22_5"/>
      <w:bookmarkStart w:id="184" w:name="Tc_f4vdi9he1U24jnn16IldBg_22_2"/>
      <w:bookmarkStart w:id="185" w:name="Tc_Q019QNWKaU6_2NoGuSS0oQ_22_0"/>
      <w:bookmarkStart w:id="186" w:name="Tc_cJ7ipoBuPEil5eu2nWN9Qg_21_0"/>
      <w:bookmarkStart w:id="187" w:name="Tc_obyyVK6OC0K6m0tazhds9g_20_11"/>
      <w:bookmarkStart w:id="188" w:name="Tc_f_OpGERT_UWUi-9sn9L6FQ_20_8"/>
      <w:bookmarkStart w:id="189" w:name="Tc_blXpft95QEmN1pRXqQt1yw_20_5"/>
      <w:bookmarkStart w:id="190" w:name="Tc_Swkm0aCAvkOf30SEN9z6uA_20_2"/>
      <w:bookmarkStart w:id="191" w:name="Tc_XGdBB1xG5EO8yUIjBWfX0A_20_0"/>
      <w:bookmarkStart w:id="192" w:name="Tc_qEyJDz85PkiZtM4Tbh7Ixg_19_12"/>
      <w:bookmarkStart w:id="193" w:name="Tc__jjcV_62OEyE4U4mMCIt5g_19_6"/>
      <w:bookmarkStart w:id="194" w:name="Tc_Ay3emkusRESclO8tncdeTA_19_0"/>
      <w:bookmarkStart w:id="195" w:name="Tc_RMZ5flMrBUyeKJ0_-Uw2Ow_18_12"/>
      <w:bookmarkStart w:id="196" w:name="Tc_nsr-uMDZ5U-FC6A0q_foCg_18_6"/>
      <w:bookmarkStart w:id="197" w:name="Tc_7bwoFVdbukGZsQ_wZGCycA_18_0"/>
      <w:bookmarkStart w:id="198" w:name="Tc_RF5noQwbY0yakKpFORqI9A_17_11"/>
      <w:bookmarkStart w:id="199" w:name="Tc_bxX9mYnVn0uqZvb_cfdiOQ_17_8"/>
      <w:bookmarkStart w:id="200" w:name="Tc_LaMCsfuc_Eix4zDN9fVnMA_17_5"/>
      <w:bookmarkStart w:id="201" w:name="Tc_6jtuNgCxrUiVtZx7QikIUg_17_2"/>
      <w:bookmarkStart w:id="202" w:name="Tc_wMoY8mpPnUeRTCsKT6T52A_17_0"/>
      <w:bookmarkStart w:id="203" w:name="Tc_mrYjZl5qbEyeODiAHTELBQ_16_0"/>
      <w:bookmarkStart w:id="204" w:name="Tc_QREp2QD1EkmP_JLm9i04kw_15_9"/>
      <w:bookmarkStart w:id="205" w:name="Tc_NlR0enRBXEig40ePr59pag_15_3"/>
      <w:bookmarkStart w:id="206" w:name="Tc_8BTtvj_9vkCYNVywoQJmhQ_15_0"/>
      <w:bookmarkStart w:id="207" w:name="Tc_6r4pGBMUmkaRjabbfMnS4w_14_0"/>
      <w:bookmarkStart w:id="208" w:name="Tc_xpkAYVNzzUmTY6an91v8XA_13_12"/>
      <w:bookmarkStart w:id="209" w:name="Tc_2E9PylrClUyLRUtke1840Q_13_6"/>
      <w:bookmarkStart w:id="210" w:name="Tc_i7crArdrB0Sf3ffvQkADsA_13_0"/>
      <w:bookmarkStart w:id="211" w:name="Tc_O6tcSK6c1EqAgbW58XrLfg_12_9"/>
      <w:bookmarkStart w:id="212" w:name="Tc_AbM3dbZo80qsgkWoiplVng_12_6"/>
      <w:bookmarkStart w:id="213" w:name="Tc_sU14zZVL20mZFMAK1XVGkg_12_3"/>
      <w:bookmarkStart w:id="214" w:name="Tc_k2LKE4qMqkuSuGV97ESOoA_12_0"/>
      <w:bookmarkStart w:id="215" w:name="Tc_-Pyqx8jf8UaxskeVOxw2zA_11_0"/>
      <w:bookmarkStart w:id="216" w:name="Tc_j7Y3cZnt8kCXzwO4l2gs8g_10_0"/>
      <w:bookmarkStart w:id="217" w:name="Tc_ijnHPrl1nEmsLPj8QIyg3Q_9_0"/>
      <w:bookmarkStart w:id="218" w:name="Tc_JOq9hbucV0ip-RMeig9Xiw_8_0"/>
      <w:bookmarkStart w:id="219" w:name="Tc_IwiaUsK0r0ac1o_b35WJEg_7_12"/>
      <w:bookmarkStart w:id="220" w:name="Tc_C6bcp26v-k-52R_GfnbZEw_7_6"/>
      <w:bookmarkStart w:id="221" w:name="Tc_U0WDgzyacEWwE1IrbIVMSQ_7_0"/>
      <w:bookmarkStart w:id="222" w:name="Tc_Ah9jn9Fa9UOSeW71rAs9sA_6_0"/>
      <w:bookmarkStart w:id="223" w:name="Tc_9mHfSTu0jkWNO76B3lhNnw_5_11"/>
      <w:bookmarkStart w:id="224" w:name="Tc_qFNVWMu9TEWmYcfk12q9zQ_5_8"/>
      <w:bookmarkStart w:id="225" w:name="Tc_-AWHRLpIOU6XHgMsXmETZw_5_5"/>
      <w:bookmarkStart w:id="226" w:name="Tc_qKUfYMshlEyfYAHevISJ1g_5_2"/>
      <w:bookmarkStart w:id="227" w:name="Tc_X8D3LJJeLk2HLuBQIBJZ7Q_5_0"/>
      <w:bookmarkStart w:id="228" w:name="Tc_xu1wVsh9xkCuJDxRtlzIQg_4_0"/>
      <w:bookmarkStart w:id="229" w:name="Tc_PzGeGKsiRk-avK_x7RYPxQ_3_11"/>
      <w:bookmarkStart w:id="230" w:name="Tc_4FSFFwOmo0SUAUHR2gjWeA_3_8"/>
      <w:bookmarkStart w:id="231" w:name="Tc_CgIk2obDUUSzWhQ1VKy4Hg_3_5"/>
      <w:bookmarkStart w:id="232" w:name="Tc_dHKLQ4PgZUuaO0Idoi80BA_3_2"/>
      <w:bookmarkStart w:id="233" w:name="Tc_dj4CfLkaP0-DmufWNu0JWA_2_8"/>
      <w:bookmarkStart w:id="234" w:name="Tc_2WmKa5RqBUSDFeOqn0cUgg_2_2"/>
      <w:bookmarkStart w:id="235" w:name="Tc_QF9kSk1rGUaa1dFWuSXJQA_1_8"/>
      <w:bookmarkStart w:id="236" w:name="Tc__2Zh6SvYQ0iKOqao1J0Dbg_1_2"/>
      <w:bookmarkStart w:id="237" w:name="_2febb93b_8b3c_490d_bd9a_aaed984714a7"/>
      <w:bookmarkStart w:id="238" w:name="_a333e619_3ddb_467e_af51_90319ed90685"/>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tbl>
      <w:tblPr>
        <w:tblW w:w="10205" w:type="dxa"/>
        <w:jc w:val="left"/>
        <w:tblInd w:w="0" w:type="dxa"/>
        <w:tblLayout w:type="fixed"/>
        <w:tblCellMar>
          <w:top w:w="0" w:type="dxa"/>
          <w:left w:w="0" w:type="dxa"/>
          <w:bottom w:w="0" w:type="dxa"/>
          <w:right w:w="0" w:type="dxa"/>
        </w:tblCellMar>
      </w:tblPr>
      <w:tblGrid>
        <w:gridCol w:w="3798"/>
        <w:gridCol w:w="326"/>
        <w:gridCol w:w="211"/>
        <w:gridCol w:w="1036"/>
        <w:gridCol w:w="326"/>
        <w:gridCol w:w="211"/>
        <w:gridCol w:w="1036"/>
        <w:gridCol w:w="326"/>
        <w:gridCol w:w="211"/>
        <w:gridCol w:w="1036"/>
        <w:gridCol w:w="326"/>
        <w:gridCol w:w="211"/>
        <w:gridCol w:w="1151"/>
      </w:tblGrid>
      <w:tr>
        <w:trPr/>
        <w:tc>
          <w:tcPr>
            <w:tcW w:w="3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11730" cy="175260"/>
                      <wp:effectExtent l="0" t="0" r="0" b="0"/>
                      <wp:wrapNone/>
                      <wp:docPr id="30" name="Frame30"/>
                      <a:graphic xmlns:a="http://schemas.openxmlformats.org/drawingml/2006/main">
                        <a:graphicData uri="http://schemas.microsoft.com/office/word/2010/wordprocessingShape">
                          <wps:wsp>
                            <wps:cNvSpPr txBox="1"/>
                            <wps:spPr>
                              <a:xfrm>
                                <a:off x="0" y="0"/>
                                <a:ext cx="2411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3" name="Frame3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57860" cy="175260"/>
                      <wp:effectExtent l="0" t="0" r="0" b="0"/>
                      <wp:wrapNone/>
                      <wp:docPr id="39" name="Frame3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30885" cy="175260"/>
                      <wp:effectExtent l="0" t="0" r="0" b="0"/>
                      <wp:wrapNone/>
                      <wp:docPr id="42" name="Frame4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center"/>
              <w:rPr/>
            </w:pPr>
            <w:r>
              <w:rPr/>
              <w:t> </w:t>
            </w:r>
          </w:p>
        </w:tc>
        <w:tc>
          <w:tcPr>
            <w:tcW w:w="293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3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1"/>
              <w:ind w:left="0" w:right="0" w:hanging="0"/>
              <w:jc w:val="center"/>
              <w:rPr/>
            </w:pPr>
            <w:r>
              <w:rPr/>
              <w:t> </w:t>
            </w:r>
          </w:p>
        </w:tc>
        <w:tc>
          <w:tcPr>
            <w:tcW w:w="29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3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pPr>
            <w:r>
              <w:rPr/>
              <w:t>  </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8,441</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16,864</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25,305</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(25,305)</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pPr>
            <w:r>
              <w:rPr/>
              <w:t>​</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pPr>
            <w:r>
              <w:rPr/>
              <w:t>—</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(4,875)</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(20,430)</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attributed to credit risk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(20,430)</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37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37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73,221,563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65,732,343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70,260,622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64,348,966</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9" w:name="_Hlk131039955"/>
      <w:bookmarkStart w:id="240" w:name="_318e0aee_6772_49cc_a09e_769a4e173faa"/>
      <w:bookmarkEnd w:id="239"/>
      <w:bookmarkEnd w:id="240"/>
      <w:r>
        <w:rPr>
          <w:rFonts w:ascii="Times New Roman;Times;serif" w:hAnsi="Times New Roman;Times;serif"/>
          <w:b/>
          <w:sz w:val="20"/>
        </w:rPr>
        <w:t>NRX PHARMACEUTICALS, INC.</w:t>
      </w:r>
    </w:p>
    <w:p>
      <w:pPr>
        <w:pStyle w:val="TextBody"/>
        <w:bidi w:val="0"/>
        <w:spacing w:before="0" w:after="0"/>
        <w:ind w:left="0" w:right="0" w:hanging="0"/>
        <w:jc w:val="center"/>
        <w:rPr>
          <w:rFonts w:ascii="Times New Roman;Times;serif" w:hAnsi="Times New Roman;Times;serif"/>
          <w:b/>
          <w:sz w:val="20"/>
        </w:rPr>
      </w:pPr>
      <w:bookmarkStart w:id="241" w:name="STOCKHOLDERSEQUITYDEFICIT_256664"/>
      <w:bookmarkEnd w:id="241"/>
      <w:r>
        <w:rPr>
          <w:rFonts w:ascii="Times New Roman;Times;serif" w:hAnsi="Times New Roman;Times;serif"/>
          <w:b/>
          <w:sz w:val="20"/>
        </w:rPr>
        <w:t>CONDENSED CONSOLIDATED STATEMENTS OF STOCKHOLDERS’ (DEFICIT)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2" w:name="Tc_s1WKL1jft06GGv_S64MLJg_17_16"/>
      <w:bookmarkStart w:id="243" w:name="Tc_gxJtvRd6XEqHzNQHT9s_lw_17_13"/>
      <w:bookmarkStart w:id="244" w:name="Tc_cRbS7vbTZEa1zfZj20fhvg_17_10"/>
      <w:bookmarkStart w:id="245" w:name="Tc_wVmzTN_8u0iVXjUE0O02xg_17_7"/>
      <w:bookmarkStart w:id="246" w:name="Tc_ANEwe-FgdEOZVwQPGbrdag_17_4"/>
      <w:bookmarkStart w:id="247" w:name="Tc_rnOJ5eWYEE-j8a6ZLl_0Nw_17_0"/>
      <w:bookmarkStart w:id="248" w:name="Tc_s8-XjV1VLEeU3jTYkOirqg_16_14"/>
      <w:bookmarkStart w:id="249" w:name="Tc_8vy5fq5qVkea-a6QtxDVDQ_16_8"/>
      <w:bookmarkStart w:id="250" w:name="Tc_pf6lQi5bJUmHVAd3iieUNg_16_5"/>
      <w:bookmarkStart w:id="251" w:name="Tc_9w8BmhMixkesYNR_9KjRVg_16_2"/>
      <w:bookmarkStart w:id="252" w:name="Tc_bmzRXWjmb06AHsiTXRC-xg_16_0"/>
      <w:bookmarkStart w:id="253" w:name="Tc_1b9bwoLy1kuIen73D2ibmg_15_14"/>
      <w:bookmarkStart w:id="254" w:name="Tc_lLFCc4rUoUKiDlYi1ItYnw_15_11"/>
      <w:bookmarkStart w:id="255" w:name="Tc_JNz9PLq-okqaqOql6Hq-LA_15_5"/>
      <w:bookmarkStart w:id="256" w:name="Tc_-Tw17W9e50iyvxqD-ZHgwQ_15_0"/>
      <w:bookmarkStart w:id="257" w:name="Tc_oajqAniAI0G4UWmtV28r6g_14_14"/>
      <w:bookmarkStart w:id="258" w:name="Tc_AjuawSGLTUOgQJaJFcgWGw_14_11"/>
      <w:bookmarkStart w:id="259" w:name="Tc_m2fmIExRsUeixKev820-1w_14_5"/>
      <w:bookmarkStart w:id="260" w:name="Tc_b8WhfVwr7UmW1eJU5k61qA_14_2"/>
      <w:bookmarkStart w:id="261" w:name="Tc_e1D207iqYEuFDpVT12EKTA_14_0"/>
      <w:bookmarkStart w:id="262" w:name="Tc_hKqAt3mrEky0KLi3qF8RNg_13_11"/>
      <w:bookmarkStart w:id="263" w:name="Tc_xpdsmesiuECYFTPc-3Jb_A_13_8"/>
      <w:bookmarkStart w:id="264" w:name="Tc_liQ9nQzHYkKOHmqtWjko0Q_13_5"/>
      <w:bookmarkStart w:id="265" w:name="Tc_cLg2UCynYUqTqPQYUI9hDw_13_2"/>
      <w:bookmarkStart w:id="266" w:name="Tc_aqEzcKKKHUaj-uxA2d9YKw_13_0"/>
      <w:bookmarkStart w:id="267" w:name="Tc_r8oIVSaBCEm6esbxXWePxA_12_14"/>
      <w:bookmarkStart w:id="268" w:name="Tc_QIsbV2sek0S1dUo1NYAwxw_12_11"/>
      <w:bookmarkStart w:id="269" w:name="Tc_MBeL5GqKdUKdNPKHTbkcMA_12_0"/>
      <w:bookmarkStart w:id="270" w:name="Tc_lnwSnj-w-0-Yx517skPctQ_11_16"/>
      <w:bookmarkStart w:id="271" w:name="Tc_XY54qgGFGk6THMeZqJaf_A_11_13"/>
      <w:bookmarkStart w:id="272" w:name="Tc_Ym9-TEp3M0Kb-2c1zoqu7A_11_10"/>
      <w:bookmarkStart w:id="273" w:name="Tc_FEBI9jsM4U6tqHGA_zPvfA_11_7"/>
      <w:bookmarkStart w:id="274" w:name="Tc_q5FX7CbJtkKl2CuCqygR4g_11_4"/>
      <w:bookmarkStart w:id="275" w:name="Tc_cvUCQhp0BUec4-DMpzKMXA_11_0"/>
      <w:bookmarkStart w:id="276" w:name="Tc_ncaZqer7WE-G6eP_TiVMsw_10_14"/>
      <w:bookmarkStart w:id="277" w:name="Tc_FPi1z1WT7Eaz3g4TShZcWQ_10_8"/>
      <w:bookmarkStart w:id="278" w:name="Tc_NA-sQfVcQ0GdLiZdTHQ24Q_10_5"/>
      <w:bookmarkStart w:id="279" w:name="Tc_5FPGT5Jxn0KaLrHaqoZw3A_10_2"/>
      <w:bookmarkStart w:id="280" w:name="Tc_rehjiMf9Tk6HYOCTPsRbFg_10_0"/>
      <w:bookmarkStart w:id="281" w:name="Tc_de3ohbP2RkaMqH83B9p9Jw_9_14"/>
      <w:bookmarkStart w:id="282" w:name="Tc_5e2M50BzKkyJcy559ie1OA_9_11"/>
      <w:bookmarkStart w:id="283" w:name="Tc_QnliHOe1eUCfdNvhBLZLXg_9_5"/>
      <w:bookmarkStart w:id="284" w:name="Tc_8Q7xjikm90q5COqbLmFM-A_9_2"/>
      <w:bookmarkStart w:id="285" w:name="Tc_29GERr8WHEeTW9Gltm6U9w_9_0"/>
      <w:bookmarkStart w:id="286" w:name="Tc_tBpy5i2jpkKnM6CqmOxNmA_8_11"/>
      <w:bookmarkStart w:id="287" w:name="Tc_zNhCuE8fxEuOj_sOr2WDgw_8_8"/>
      <w:bookmarkStart w:id="288" w:name="Tc_Nd0j7R9WHkScXSWiRFfFMQ_8_5"/>
      <w:bookmarkStart w:id="289" w:name="Tc_FQb3QLJ_L0y_WCDozRAeXQ_8_2"/>
      <w:bookmarkStart w:id="290" w:name="Tc_4i_sn2iXMkSrDdvvLXUh9g_8_0"/>
      <w:bookmarkStart w:id="291" w:name="Tc_USGWVwW4mky4WQzXz5jhwQ_7_14"/>
      <w:bookmarkStart w:id="292" w:name="Tc_rlRLoI69f0aA3z174orKVg_7_11"/>
      <w:bookmarkStart w:id="293" w:name="Tc_A8C_H23JyUWRObyGE4F_hA_7_0"/>
      <w:bookmarkStart w:id="294" w:name="Tc_aFQYwKhMiEGlVuAdf5e-vA_6_16"/>
      <w:bookmarkStart w:id="295" w:name="Tc_1XQQ7GuWMU6j1vpMJjk6IA_6_14"/>
      <w:bookmarkStart w:id="296" w:name="Tc_mPGrHjnkakSP2q-CCf7mUA_6_13"/>
      <w:bookmarkStart w:id="297" w:name="Tc_6SdImEPDzEyXtenRbeGogA_6_10"/>
      <w:bookmarkStart w:id="298" w:name="Tc_GMlAWpzZNkyGsk3XObUmBg_6_7"/>
      <w:bookmarkStart w:id="299" w:name="Tc_lmfiUCcXVEqhjxQ9BL3EyQ_6_4"/>
      <w:bookmarkStart w:id="300" w:name="Tc_1oZ6FakBjEy24UzOTJBZlw_6_0"/>
      <w:bookmarkStart w:id="301" w:name="Tc_ba5rpeL39U-TAu3ITX4LjA_5_16"/>
      <w:bookmarkStart w:id="302" w:name="Tc_bGcLaGyjaEimwmAuk7XTNw_5_14"/>
      <w:bookmarkStart w:id="303" w:name="Tc_WMO_8XSgMUeSHpXpWXGTZw_5_10"/>
      <w:bookmarkStart w:id="304" w:name="Tc_x82ywJW9Ek6MPJEl2b-9XA_5_7"/>
      <w:bookmarkStart w:id="305" w:name="Tc_e4ZsmWL-WUKLSNC9aI057g_5_4"/>
      <w:bookmarkStart w:id="306" w:name="Tc_9PjuLCFKCkSk6MhWlBK_Ow_5_2"/>
      <w:bookmarkStart w:id="307" w:name="Tc_Eg4a2tpcakC0gNPRGuWuOA_4_16"/>
      <w:bookmarkStart w:id="308" w:name="Tc_pOh0Us0K50S-_b6NYK2ymQ_4_14"/>
      <w:bookmarkStart w:id="309" w:name="Tc_3GVfFvyGlk6HU1beDA4Scg_4_10"/>
      <w:bookmarkStart w:id="310" w:name="Tc_Bsefs-1ycUK4yin0lWHtVQ_4_7"/>
      <w:bookmarkStart w:id="311" w:name="Tc_GF826rwHXUWZBFf3AHRpLA_4_2"/>
      <w:bookmarkStart w:id="312" w:name="Tc_HeFoynhrskG-ZFaQ2YmTSQ_3_16"/>
      <w:bookmarkStart w:id="313" w:name="Tc_BELdNBjk30uE6WafmL5lfw_3_14"/>
      <w:bookmarkStart w:id="314" w:name="Tc_VZJRumeMkkORClU92IaqCQ_3_7"/>
      <w:bookmarkStart w:id="315" w:name="_1fcfedaa_5fe9_472b_8bb4_862373321bb5"/>
      <w:bookmarkStart w:id="316" w:name="Tc_s1WKL1jft06GGv_S64MLJg_17_16"/>
      <w:bookmarkStart w:id="317" w:name="Tc_gxJtvRd6XEqHzNQHT9s_lw_17_13"/>
      <w:bookmarkStart w:id="318" w:name="Tc_cRbS7vbTZEa1zfZj20fhvg_17_10"/>
      <w:bookmarkStart w:id="319" w:name="Tc_wVmzTN_8u0iVXjUE0O02xg_17_7"/>
      <w:bookmarkStart w:id="320" w:name="Tc_ANEwe-FgdEOZVwQPGbrdag_17_4"/>
      <w:bookmarkStart w:id="321" w:name="Tc_rnOJ5eWYEE-j8a6ZLl_0Nw_17_0"/>
      <w:bookmarkStart w:id="322" w:name="Tc_s8-XjV1VLEeU3jTYkOirqg_16_14"/>
      <w:bookmarkStart w:id="323" w:name="Tc_8vy5fq5qVkea-a6QtxDVDQ_16_8"/>
      <w:bookmarkStart w:id="324" w:name="Tc_pf6lQi5bJUmHVAd3iieUNg_16_5"/>
      <w:bookmarkStart w:id="325" w:name="Tc_9w8BmhMixkesYNR_9KjRVg_16_2"/>
      <w:bookmarkStart w:id="326" w:name="Tc_bmzRXWjmb06AHsiTXRC-xg_16_0"/>
      <w:bookmarkStart w:id="327" w:name="Tc_1b9bwoLy1kuIen73D2ibmg_15_14"/>
      <w:bookmarkStart w:id="328" w:name="Tc_lLFCc4rUoUKiDlYi1ItYnw_15_11"/>
      <w:bookmarkStart w:id="329" w:name="Tc_JNz9PLq-okqaqOql6Hq-LA_15_5"/>
      <w:bookmarkStart w:id="330" w:name="Tc_-Tw17W9e50iyvxqD-ZHgwQ_15_0"/>
      <w:bookmarkStart w:id="331" w:name="Tc_oajqAniAI0G4UWmtV28r6g_14_14"/>
      <w:bookmarkStart w:id="332" w:name="Tc_AjuawSGLTUOgQJaJFcgWGw_14_11"/>
      <w:bookmarkStart w:id="333" w:name="Tc_m2fmIExRsUeixKev820-1w_14_5"/>
      <w:bookmarkStart w:id="334" w:name="Tc_b8WhfVwr7UmW1eJU5k61qA_14_2"/>
      <w:bookmarkStart w:id="335" w:name="Tc_e1D207iqYEuFDpVT12EKTA_14_0"/>
      <w:bookmarkStart w:id="336" w:name="Tc_hKqAt3mrEky0KLi3qF8RNg_13_11"/>
      <w:bookmarkStart w:id="337" w:name="Tc_xpdsmesiuECYFTPc-3Jb_A_13_8"/>
      <w:bookmarkStart w:id="338" w:name="Tc_liQ9nQzHYkKOHmqtWjko0Q_13_5"/>
      <w:bookmarkStart w:id="339" w:name="Tc_cLg2UCynYUqTqPQYUI9hDw_13_2"/>
      <w:bookmarkStart w:id="340" w:name="Tc_aqEzcKKKHUaj-uxA2d9YKw_13_0"/>
      <w:bookmarkStart w:id="341" w:name="Tc_r8oIVSaBCEm6esbxXWePxA_12_14"/>
      <w:bookmarkStart w:id="342" w:name="Tc_QIsbV2sek0S1dUo1NYAwxw_12_11"/>
      <w:bookmarkStart w:id="343" w:name="Tc_MBeL5GqKdUKdNPKHTbkcMA_12_0"/>
      <w:bookmarkStart w:id="344" w:name="Tc_lnwSnj-w-0-Yx517skPctQ_11_16"/>
      <w:bookmarkStart w:id="345" w:name="Tc_XY54qgGFGk6THMeZqJaf_A_11_13"/>
      <w:bookmarkStart w:id="346" w:name="Tc_Ym9-TEp3M0Kb-2c1zoqu7A_11_10"/>
      <w:bookmarkStart w:id="347" w:name="Tc_FEBI9jsM4U6tqHGA_zPvfA_11_7"/>
      <w:bookmarkStart w:id="348" w:name="Tc_q5FX7CbJtkKl2CuCqygR4g_11_4"/>
      <w:bookmarkStart w:id="349" w:name="Tc_cvUCQhp0BUec4-DMpzKMXA_11_0"/>
      <w:bookmarkStart w:id="350" w:name="Tc_ncaZqer7WE-G6eP_TiVMsw_10_14"/>
      <w:bookmarkStart w:id="351" w:name="Tc_FPi1z1WT7Eaz3g4TShZcWQ_10_8"/>
      <w:bookmarkStart w:id="352" w:name="Tc_NA-sQfVcQ0GdLiZdTHQ24Q_10_5"/>
      <w:bookmarkStart w:id="353" w:name="Tc_5FPGT5Jxn0KaLrHaqoZw3A_10_2"/>
      <w:bookmarkStart w:id="354" w:name="Tc_rehjiMf9Tk6HYOCTPsRbFg_10_0"/>
      <w:bookmarkStart w:id="355" w:name="Tc_de3ohbP2RkaMqH83B9p9Jw_9_14"/>
      <w:bookmarkStart w:id="356" w:name="Tc_5e2M50BzKkyJcy559ie1OA_9_11"/>
      <w:bookmarkStart w:id="357" w:name="Tc_QnliHOe1eUCfdNvhBLZLXg_9_5"/>
      <w:bookmarkStart w:id="358" w:name="Tc_8Q7xjikm90q5COqbLmFM-A_9_2"/>
      <w:bookmarkStart w:id="359" w:name="Tc_29GERr8WHEeTW9Gltm6U9w_9_0"/>
      <w:bookmarkStart w:id="360" w:name="Tc_tBpy5i2jpkKnM6CqmOxNmA_8_11"/>
      <w:bookmarkStart w:id="361" w:name="Tc_zNhCuE8fxEuOj_sOr2WDgw_8_8"/>
      <w:bookmarkStart w:id="362" w:name="Tc_Nd0j7R9WHkScXSWiRFfFMQ_8_5"/>
      <w:bookmarkStart w:id="363" w:name="Tc_FQb3QLJ_L0y_WCDozRAeXQ_8_2"/>
      <w:bookmarkStart w:id="364" w:name="Tc_4i_sn2iXMkSrDdvvLXUh9g_8_0"/>
      <w:bookmarkStart w:id="365" w:name="Tc_USGWVwW4mky4WQzXz5jhwQ_7_14"/>
      <w:bookmarkStart w:id="366" w:name="Tc_rlRLoI69f0aA3z174orKVg_7_11"/>
      <w:bookmarkStart w:id="367" w:name="Tc_A8C_H23JyUWRObyGE4F_hA_7_0"/>
      <w:bookmarkStart w:id="368" w:name="Tc_aFQYwKhMiEGlVuAdf5e-vA_6_16"/>
      <w:bookmarkStart w:id="369" w:name="Tc_1XQQ7GuWMU6j1vpMJjk6IA_6_14"/>
      <w:bookmarkStart w:id="370" w:name="Tc_mPGrHjnkakSP2q-CCf7mUA_6_13"/>
      <w:bookmarkStart w:id="371" w:name="Tc_6SdImEPDzEyXtenRbeGogA_6_10"/>
      <w:bookmarkStart w:id="372" w:name="Tc_GMlAWpzZNkyGsk3XObUmBg_6_7"/>
      <w:bookmarkStart w:id="373" w:name="Tc_lmfiUCcXVEqhjxQ9BL3EyQ_6_4"/>
      <w:bookmarkStart w:id="374" w:name="Tc_1oZ6FakBjEy24UzOTJBZlw_6_0"/>
      <w:bookmarkStart w:id="375" w:name="Tc_ba5rpeL39U-TAu3ITX4LjA_5_16"/>
      <w:bookmarkStart w:id="376" w:name="Tc_bGcLaGyjaEimwmAuk7XTNw_5_14"/>
      <w:bookmarkStart w:id="377" w:name="Tc_WMO_8XSgMUeSHpXpWXGTZw_5_10"/>
      <w:bookmarkStart w:id="378" w:name="Tc_x82ywJW9Ek6MPJEl2b-9XA_5_7"/>
      <w:bookmarkStart w:id="379" w:name="Tc_e4ZsmWL-WUKLSNC9aI057g_5_4"/>
      <w:bookmarkStart w:id="380" w:name="Tc_9PjuLCFKCkSk6MhWlBK_Ow_5_2"/>
      <w:bookmarkStart w:id="381" w:name="Tc_Eg4a2tpcakC0gNPRGuWuOA_4_16"/>
      <w:bookmarkStart w:id="382" w:name="Tc_pOh0Us0K50S-_b6NYK2ymQ_4_14"/>
      <w:bookmarkStart w:id="383" w:name="Tc_3GVfFvyGlk6HU1beDA4Scg_4_10"/>
      <w:bookmarkStart w:id="384" w:name="Tc_Bsefs-1ycUK4yin0lWHtVQ_4_7"/>
      <w:bookmarkStart w:id="385" w:name="Tc_GF826rwHXUWZBFf3AHRpLA_4_2"/>
      <w:bookmarkStart w:id="386" w:name="Tc_HeFoynhrskG-ZFaQ2YmTSQ_3_16"/>
      <w:bookmarkStart w:id="387" w:name="Tc_BELdNBjk30uE6WafmL5lfw_3_14"/>
      <w:bookmarkStart w:id="388" w:name="Tc_VZJRumeMkkORClU92IaqCQ_3_7"/>
      <w:bookmarkStart w:id="389" w:name="_1fcfedaa_5fe9_472b_8bb4_862373321bb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tbl>
      <w:tblPr>
        <w:tblW w:w="10205" w:type="dxa"/>
        <w:jc w:val="left"/>
        <w:tblInd w:w="0" w:type="dxa"/>
        <w:tblLayout w:type="fixed"/>
        <w:tblCellMar>
          <w:top w:w="0" w:type="dxa"/>
          <w:left w:w="0" w:type="dxa"/>
          <w:bottom w:w="0" w:type="dxa"/>
          <w:right w:w="0" w:type="dxa"/>
        </w:tblCellMar>
      </w:tblPr>
      <w:tblGrid>
        <w:gridCol w:w="3240"/>
        <w:gridCol w:w="109"/>
        <w:gridCol w:w="916"/>
        <w:gridCol w:w="109"/>
        <w:gridCol w:w="249"/>
        <w:gridCol w:w="442"/>
        <w:gridCol w:w="109"/>
        <w:gridCol w:w="196"/>
        <w:gridCol w:w="691"/>
        <w:gridCol w:w="109"/>
        <w:gridCol w:w="217"/>
        <w:gridCol w:w="834"/>
        <w:gridCol w:w="109"/>
        <w:gridCol w:w="196"/>
        <w:gridCol w:w="1384"/>
        <w:gridCol w:w="109"/>
        <w:gridCol w:w="255"/>
        <w:gridCol w:w="931"/>
      </w:tblGrid>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1660" cy="175260"/>
                      <wp:effectExtent l="0" t="0" r="0" b="0"/>
                      <wp:wrapNone/>
                      <wp:docPr id="44" name="Frame4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8115" cy="175260"/>
                      <wp:effectExtent l="0" t="0" r="0" b="0"/>
                      <wp:wrapNone/>
                      <wp:docPr id="46" name="Frame4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80670" cy="175260"/>
                      <wp:effectExtent l="0" t="0" r="0" b="0"/>
                      <wp:wrapNone/>
                      <wp:docPr id="47" name="Frame4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8785" cy="175260"/>
                      <wp:effectExtent l="0" t="0" r="0" b="0"/>
                      <wp:wrapNone/>
                      <wp:docPr id="50" name="Frame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7795" cy="175260"/>
                      <wp:effectExtent l="0" t="0" r="0" b="0"/>
                      <wp:wrapNone/>
                      <wp:docPr id="52" name="Frame5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29590" cy="175260"/>
                      <wp:effectExtent l="0" t="0" r="0" b="0"/>
                      <wp:wrapNone/>
                      <wp:docPr id="53" name="Frame5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878840" cy="175260"/>
                      <wp:effectExtent l="0" t="0" r="0" b="0"/>
                      <wp:wrapNone/>
                      <wp:docPr id="56" name="Frame5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1925" cy="175260"/>
                      <wp:effectExtent l="0" t="0" r="0" b="0"/>
                      <wp:wrapNone/>
                      <wp:docPr id="58" name="Frame5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3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pPr>
            <w:r>
              <w:rPr/>
              <w:t>​</w:t>
            </w:r>
          </w:p>
        </w:tc>
      </w:tr>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3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3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3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 Equity</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66,442,989</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230,339</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(222,997)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7,409</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and warrants issued, net of issuance costs $351</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3,866,666</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2,542</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3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2,545</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convertible note attributed to credit risk</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3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(11,039)</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 March 31, 2023</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70,309,655</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233,576</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(234,036)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(284)</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and warrants issued, net of issuance costs $2,168</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9,670,002</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5,567</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5,577</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convertible note attributed to credit risk</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13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as repayment of principal and interest for convertible note</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408,673</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13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3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(8,717)</w:t>
            </w:r>
          </w:p>
        </w:tc>
      </w:tr>
      <w:tr>
        <w:trPr/>
        <w:tc>
          <w:tcPr>
            <w:tcW w:w="324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 June 30, 2023</w:t>
            </w:r>
          </w:p>
        </w:tc>
        <w:tc>
          <w:tcPr>
            <w:tcW w:w="109"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80,388,330</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239,887</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(242,753)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(2,808)</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90" w:name="Tc_SFkYltV8a0uXV3iRXUnFXw_14_13"/>
      <w:bookmarkStart w:id="391" w:name="Tc_3clZC7szLU2h8tgEcpESBg_14_10"/>
      <w:bookmarkStart w:id="392" w:name="Tc_Cib1ZEY-OUumYxoYVQ8nPQ_14_7"/>
      <w:bookmarkStart w:id="393" w:name="Tc_yIW3ds5uIkWOPBVT4NvjBA_14_4"/>
      <w:bookmarkStart w:id="394" w:name="Tc_JLoWxfEqaEaw9OD2qKFu3w_14_0"/>
      <w:bookmarkStart w:id="395" w:name="Tc_ox46T_Ky_UG80Le1oAZ1rw_13_8"/>
      <w:bookmarkStart w:id="396" w:name="Tc_6iSoHUMCFkGwL8dfA4iKPg_13_5"/>
      <w:bookmarkStart w:id="397" w:name="Tc_GhC3NO9720S9MAxlf7OoXA_13_2"/>
      <w:bookmarkStart w:id="398" w:name="Tc_dv6gLxhDEk6q4X3pipDpvA_13_0"/>
      <w:bookmarkStart w:id="399" w:name="Tc__aP873yGXESBSd2BRGr1Ww_12_11"/>
      <w:bookmarkStart w:id="400" w:name="Tc_KURKrNrrZEWmzHyC6wG3VQ_12_5"/>
      <w:bookmarkStart w:id="401" w:name="Tc_ogEWl8yMUEid_KGAViAEmQ_12_2"/>
      <w:bookmarkStart w:id="402" w:name="Tc_4MQLYy4utk69oXIm-51z5g_12_0"/>
      <w:bookmarkStart w:id="403" w:name="Tc_IJHeezZHc0WN2lhRZrcOJQ_11_11"/>
      <w:bookmarkStart w:id="404" w:name="Tc_WDbriUB44UqwI3LErmSUQw_11_5"/>
      <w:bookmarkStart w:id="405" w:name="Tc_zZbpYsowqkqW4P0lHHkV7w_11_2"/>
      <w:bookmarkStart w:id="406" w:name="Tc_nrvUuIB5IECGlOIroufYcw_11_0"/>
      <w:bookmarkStart w:id="407" w:name="Tc_JXuBOQNE1kWiUGoQ0jFLZQ_10_13"/>
      <w:bookmarkStart w:id="408" w:name="Tc_R4GkkYtDQkyUdZi_Akx9jg_10_10"/>
      <w:bookmarkStart w:id="409" w:name="Tc_njHeZlhE_kOpTIhVGW4eDw_10_7"/>
      <w:bookmarkStart w:id="410" w:name="Tc_4tbIDFV7zUO8-kLk3M0pJw_10_4"/>
      <w:bookmarkStart w:id="411" w:name="Tc_k9iBdjJ6rUGG-7OI0fGhKQ_10_0"/>
      <w:bookmarkStart w:id="412" w:name="Tc_9bUYcT4yOEqFsbzNFJGwaA_9_8"/>
      <w:bookmarkStart w:id="413" w:name="Tc_IT16cFNM1ECzPftmCCvFqQ_9_5"/>
      <w:bookmarkStart w:id="414" w:name="Tc_ixcBM8Ou3UuGsk04_2AjDw_9_2"/>
      <w:bookmarkStart w:id="415" w:name="Tc__ct_uCi1AEm9bSqxzP4bZQ_9_0"/>
      <w:bookmarkStart w:id="416" w:name="Tc_kUYDjcUGmEKaYRTHl08myA_8_11"/>
      <w:bookmarkStart w:id="417" w:name="Tc_G4NuVq06dEu05ZnsqTbdNw_8_5"/>
      <w:bookmarkStart w:id="418" w:name="Tc_SKyjE8b56UmLvSdhzZaKvA_8_2"/>
      <w:bookmarkStart w:id="419" w:name="Tc_rsDDjBo370W2N6kNGVpAxA_8_0"/>
      <w:bookmarkStart w:id="420" w:name="Tc_25fUgukN40CWIuKYRoOnIw_7_11"/>
      <w:bookmarkStart w:id="421" w:name="Tc_VlPU4aXiwke-Cr7w3qUEHA_7_5"/>
      <w:bookmarkStart w:id="422" w:name="Tc_zy6xsm3Uuk2ZvVM2pkRS6A_7_0"/>
      <w:bookmarkStart w:id="423" w:name="Tc_TGSyHNN_G0K8HyILweZAsQ_6_11"/>
      <w:bookmarkStart w:id="424" w:name="Tc_SuE_xl-jrUCWPzi_Oe4p_A_6_0"/>
      <w:bookmarkStart w:id="425" w:name="Tc_nufzMdVgIUCsQaCm7w55pA_5_13"/>
      <w:bookmarkStart w:id="426" w:name="Tc_80tEG1ad4k2iyx0Bg9jswQ_5_10"/>
      <w:bookmarkStart w:id="427" w:name="Tc_aS-MzfiMiUGuQwPvF4W79A_5_7"/>
      <w:bookmarkStart w:id="428" w:name="Tc_FXJNdydlU0C7Q21M99i0fA_5_4"/>
      <w:bookmarkStart w:id="429" w:name="Tc_Yl-vWPZuAUmGm4v4jXzEMw_5_0"/>
      <w:bookmarkStart w:id="430" w:name="Tc_8QyAUMGiBEmCONV-FpLi8Q_4_13"/>
      <w:bookmarkStart w:id="431" w:name="Tc_LKSU4g4McESzv0F3e5HnfA_4_10"/>
      <w:bookmarkStart w:id="432" w:name="Tc__ygYlTW7NUeXAABb9fXzWw_4_7"/>
      <w:bookmarkStart w:id="433" w:name="Tc_-JtKA-0u8Uevev6a69Mvbw_4_4"/>
      <w:bookmarkStart w:id="434" w:name="Tc_A6GyFUqEBkWSXxgeGpADMA_4_2"/>
      <w:bookmarkStart w:id="435" w:name="Tc_E6dkbJy7kUaLZFmCq0LX-g_3_13"/>
      <w:bookmarkStart w:id="436" w:name="Tc_0N0HgswwcUu_Zuj1dUsd2A_3_10"/>
      <w:bookmarkStart w:id="437" w:name="Tc_laUhScz9g0CvodIot9xIoA_3_7"/>
      <w:bookmarkStart w:id="438" w:name="Tc_cDMkGy20ZU6GG1Syt7txvg_3_2"/>
      <w:bookmarkStart w:id="439" w:name="Tc_0OdQFZrRo06zFf37b8J6tA_2_13"/>
      <w:bookmarkStart w:id="440" w:name="Tc_LyQHpf2sEkqzRcqEDaco6A_2_7"/>
      <w:bookmarkStart w:id="441" w:name="_a000cb75_e4a7_424a_878d_fb7c18ff6009"/>
      <w:bookmarkStart w:id="442" w:name="Tc_SFkYltV8a0uXV3iRXUnFXw_14_13"/>
      <w:bookmarkStart w:id="443" w:name="Tc_3clZC7szLU2h8tgEcpESBg_14_10"/>
      <w:bookmarkStart w:id="444" w:name="Tc_Cib1ZEY-OUumYxoYVQ8nPQ_14_7"/>
      <w:bookmarkStart w:id="445" w:name="Tc_yIW3ds5uIkWOPBVT4NvjBA_14_4"/>
      <w:bookmarkStart w:id="446" w:name="Tc_JLoWxfEqaEaw9OD2qKFu3w_14_0"/>
      <w:bookmarkStart w:id="447" w:name="Tc_ox46T_Ky_UG80Le1oAZ1rw_13_8"/>
      <w:bookmarkStart w:id="448" w:name="Tc_6iSoHUMCFkGwL8dfA4iKPg_13_5"/>
      <w:bookmarkStart w:id="449" w:name="Tc_GhC3NO9720S9MAxlf7OoXA_13_2"/>
      <w:bookmarkStart w:id="450" w:name="Tc_dv6gLxhDEk6q4X3pipDpvA_13_0"/>
      <w:bookmarkStart w:id="451" w:name="Tc__aP873yGXESBSd2BRGr1Ww_12_11"/>
      <w:bookmarkStart w:id="452" w:name="Tc_KURKrNrrZEWmzHyC6wG3VQ_12_5"/>
      <w:bookmarkStart w:id="453" w:name="Tc_ogEWl8yMUEid_KGAViAEmQ_12_2"/>
      <w:bookmarkStart w:id="454" w:name="Tc_4MQLYy4utk69oXIm-51z5g_12_0"/>
      <w:bookmarkStart w:id="455" w:name="Tc_IJHeezZHc0WN2lhRZrcOJQ_11_11"/>
      <w:bookmarkStart w:id="456" w:name="Tc_WDbriUB44UqwI3LErmSUQw_11_5"/>
      <w:bookmarkStart w:id="457" w:name="Tc_zZbpYsowqkqW4P0lHHkV7w_11_2"/>
      <w:bookmarkStart w:id="458" w:name="Tc_nrvUuIB5IECGlOIroufYcw_11_0"/>
      <w:bookmarkStart w:id="459" w:name="Tc_JXuBOQNE1kWiUGoQ0jFLZQ_10_13"/>
      <w:bookmarkStart w:id="460" w:name="Tc_R4GkkYtDQkyUdZi_Akx9jg_10_10"/>
      <w:bookmarkStart w:id="461" w:name="Tc_njHeZlhE_kOpTIhVGW4eDw_10_7"/>
      <w:bookmarkStart w:id="462" w:name="Tc_4tbIDFV7zUO8-kLk3M0pJw_10_4"/>
      <w:bookmarkStart w:id="463" w:name="Tc_k9iBdjJ6rUGG-7OI0fGhKQ_10_0"/>
      <w:bookmarkStart w:id="464" w:name="Tc_9bUYcT4yOEqFsbzNFJGwaA_9_8"/>
      <w:bookmarkStart w:id="465" w:name="Tc_IT16cFNM1ECzPftmCCvFqQ_9_5"/>
      <w:bookmarkStart w:id="466" w:name="Tc_ixcBM8Ou3UuGsk04_2AjDw_9_2"/>
      <w:bookmarkStart w:id="467" w:name="Tc__ct_uCi1AEm9bSqxzP4bZQ_9_0"/>
      <w:bookmarkStart w:id="468" w:name="Tc_kUYDjcUGmEKaYRTHl08myA_8_11"/>
      <w:bookmarkStart w:id="469" w:name="Tc_G4NuVq06dEu05ZnsqTbdNw_8_5"/>
      <w:bookmarkStart w:id="470" w:name="Tc_SKyjE8b56UmLvSdhzZaKvA_8_2"/>
      <w:bookmarkStart w:id="471" w:name="Tc_rsDDjBo370W2N6kNGVpAxA_8_0"/>
      <w:bookmarkStart w:id="472" w:name="Tc_25fUgukN40CWIuKYRoOnIw_7_11"/>
      <w:bookmarkStart w:id="473" w:name="Tc_VlPU4aXiwke-Cr7w3qUEHA_7_5"/>
      <w:bookmarkStart w:id="474" w:name="Tc_zy6xsm3Uuk2ZvVM2pkRS6A_7_0"/>
      <w:bookmarkStart w:id="475" w:name="Tc_TGSyHNN_G0K8HyILweZAsQ_6_11"/>
      <w:bookmarkStart w:id="476" w:name="Tc_SuE_xl-jrUCWPzi_Oe4p_A_6_0"/>
      <w:bookmarkStart w:id="477" w:name="Tc_nufzMdVgIUCsQaCm7w55pA_5_13"/>
      <w:bookmarkStart w:id="478" w:name="Tc_80tEG1ad4k2iyx0Bg9jswQ_5_10"/>
      <w:bookmarkStart w:id="479" w:name="Tc_aS-MzfiMiUGuQwPvF4W79A_5_7"/>
      <w:bookmarkStart w:id="480" w:name="Tc_FXJNdydlU0C7Q21M99i0fA_5_4"/>
      <w:bookmarkStart w:id="481" w:name="Tc_Yl-vWPZuAUmGm4v4jXzEMw_5_0"/>
      <w:bookmarkStart w:id="482" w:name="Tc_8QyAUMGiBEmCONV-FpLi8Q_4_13"/>
      <w:bookmarkStart w:id="483" w:name="Tc_LKSU4g4McESzv0F3e5HnfA_4_10"/>
      <w:bookmarkStart w:id="484" w:name="Tc__ygYlTW7NUeXAABb9fXzWw_4_7"/>
      <w:bookmarkStart w:id="485" w:name="Tc_-JtKA-0u8Uevev6a69Mvbw_4_4"/>
      <w:bookmarkStart w:id="486" w:name="Tc_A6GyFUqEBkWSXxgeGpADMA_4_2"/>
      <w:bookmarkStart w:id="487" w:name="Tc_E6dkbJy7kUaLZFmCq0LX-g_3_13"/>
      <w:bookmarkStart w:id="488" w:name="Tc_0N0HgswwcUu_Zuj1dUsd2A_3_10"/>
      <w:bookmarkStart w:id="489" w:name="Tc_laUhScz9g0CvodIot9xIoA_3_7"/>
      <w:bookmarkStart w:id="490" w:name="Tc_cDMkGy20ZU6GG1Syt7txvg_3_2"/>
      <w:bookmarkStart w:id="491" w:name="Tc_0OdQFZrRo06zFf37b8J6tA_2_13"/>
      <w:bookmarkStart w:id="492" w:name="Tc_LyQHpf2sEkqzRcqEDaco6A_2_7"/>
      <w:bookmarkStart w:id="493" w:name="_a000cb75_e4a7_424a_878d_fb7c18ff6009"/>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tbl>
      <w:tblPr>
        <w:tblW w:w="10205" w:type="dxa"/>
        <w:jc w:val="left"/>
        <w:tblInd w:w="0" w:type="dxa"/>
        <w:tblLayout w:type="fixed"/>
        <w:tblCellMar>
          <w:top w:w="0" w:type="dxa"/>
          <w:left w:w="0" w:type="dxa"/>
          <w:bottom w:w="0" w:type="dxa"/>
          <w:right w:w="0" w:type="dxa"/>
        </w:tblCellMar>
      </w:tblPr>
      <w:tblGrid>
        <w:gridCol w:w="4133"/>
        <w:gridCol w:w="326"/>
        <w:gridCol w:w="916"/>
        <w:gridCol w:w="326"/>
        <w:gridCol w:w="249"/>
        <w:gridCol w:w="442"/>
        <w:gridCol w:w="326"/>
        <w:gridCol w:w="196"/>
        <w:gridCol w:w="691"/>
        <w:gridCol w:w="326"/>
        <w:gridCol w:w="217"/>
        <w:gridCol w:w="834"/>
        <w:gridCol w:w="109"/>
        <w:gridCol w:w="240"/>
        <w:gridCol w:w="874"/>
      </w:tblGrid>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1660" cy="175260"/>
                      <wp:effectExtent l="0" t="0" r="0" b="0"/>
                      <wp:wrapNone/>
                      <wp:docPr id="61" name="Frame6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0670" cy="175260"/>
                      <wp:effectExtent l="0" t="0" r="0" b="0"/>
                      <wp:wrapNone/>
                      <wp:docPr id="64" name="Frame6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7795" cy="175260"/>
                      <wp:effectExtent l="0" t="0" r="0" b="0"/>
                      <wp:wrapNone/>
                      <wp:docPr id="69" name="Frame6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9590" cy="175260"/>
                      <wp:effectExtent l="0" t="0" r="0" b="0"/>
                      <wp:wrapNone/>
                      <wp:docPr id="70" name="Frame7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2400" cy="175260"/>
                      <wp:effectExtent l="0" t="0" r="0" b="0"/>
                      <wp:wrapNone/>
                      <wp:docPr id="72" name="Frame7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54990" cy="175260"/>
                      <wp:effectExtent l="0" t="0" r="0" b="0"/>
                      <wp:wrapNone/>
                      <wp:docPr id="73" name="Frame73"/>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41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58,810,550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203,990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(183,243)</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20,806</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and warrants issued in private placement, net of issuance costs of $2,020</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7,824,727</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22,972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22,980</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for consulting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1,334</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(13,448)</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(13,448)</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March 31, 2022</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66,641,314</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228,313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(196,691)</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31,689</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issuance costs in connection with Private Placement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w:t>
            </w:r>
          </w:p>
        </w:tc>
      </w:tr>
      <w:tr>
        <w:trPr/>
        <w:tc>
          <w:tcPr>
            <w:tcW w:w="41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(6,982)</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(6,982)</w:t>
            </w:r>
          </w:p>
        </w:tc>
      </w:tr>
      <w:tr>
        <w:trPr/>
        <w:tc>
          <w:tcPr>
            <w:tcW w:w="413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June 30, 2022</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66,641,314</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228,958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(203,673)</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4" w:type="dxa"/>
            <w:tcBorders/>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25,352</w:t>
            </w:r>
          </w:p>
        </w:tc>
      </w:tr>
    </w:tbl>
    <w:p>
      <w:pPr>
        <w:pStyle w:val="TextBody"/>
        <w:bidi w:val="0"/>
        <w:spacing w:before="0" w:after="240"/>
        <w:ind w:left="0" w:right="0" w:hanging="0"/>
        <w:jc w:val="left"/>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4"/>
        </w:rPr>
      </w:pPr>
      <w:bookmarkStart w:id="494" w:name="_154e1791_e4dd_4035_9155_392be2eec8e8"/>
      <w:bookmarkEnd w:id="494"/>
      <w:r>
        <w:rPr>
          <w:rFonts w:ascii="Times New Roman;Times;serif" w:hAnsi="Times New Roman;Times;serif"/>
          <w:b/>
          <w:sz w:val="14"/>
        </w:rPr>
        <w:t>NRX PHARMACEUTICALS, INC.</w:t>
      </w:r>
    </w:p>
    <w:p>
      <w:pPr>
        <w:pStyle w:val="TextBody"/>
        <w:bidi w:val="0"/>
        <w:spacing w:before="0" w:after="0"/>
        <w:ind w:left="0" w:right="0" w:hanging="0"/>
        <w:jc w:val="center"/>
        <w:rPr>
          <w:rFonts w:ascii="Times New Roman;Times;serif" w:hAnsi="Times New Roman;Times;serif"/>
          <w:b/>
          <w:sz w:val="14"/>
        </w:rPr>
      </w:pPr>
      <w:bookmarkStart w:id="495" w:name="CASHFLOWS_9910"/>
      <w:bookmarkEnd w:id="495"/>
      <w:r>
        <w:rPr>
          <w:rFonts w:ascii="Times New Roman;Times;serif" w:hAnsi="Times New Roman;Times;serif"/>
          <w:b/>
          <w:sz w:val="14"/>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6" w:name="Tc_GKJaJsT1z0C_vuG1h_aCtw_35_5"/>
      <w:bookmarkStart w:id="497" w:name="Tc_0W06s15sJ06mNmD6xWfj7Q_35_3"/>
      <w:bookmarkStart w:id="498" w:name="Tc_QWIOf-tbkkWRado2thr2HA_35_2"/>
      <w:bookmarkStart w:id="499" w:name="Tc_uBVWUv2zIEuqKDUBFCOJlw_35_0"/>
      <w:bookmarkStart w:id="500" w:name="Tc_bI6mOnimQUqn78HbXRFtRw_34_5"/>
      <w:bookmarkStart w:id="501" w:name="Tc_pTcNd3SgL0262oB5mj1rcg_34_2"/>
      <w:bookmarkStart w:id="502" w:name="Tc_aIezRzeMq0ebSjDZRCmrPA_34_0"/>
      <w:bookmarkStart w:id="503" w:name="Tc_nf2OVmzr5km2Nlowu2bMGQ_33_6"/>
      <w:bookmarkStart w:id="504" w:name="Tc_CCuLqxIiyk-O25OVmiuO-g_33_5"/>
      <w:bookmarkStart w:id="505" w:name="Tc_ue9xO0W9wky-5QScg2pIKg_33_2"/>
      <w:bookmarkStart w:id="506" w:name="Tc_99VMiOy9ZE2WtgN8TAp07g_33_0"/>
      <w:bookmarkStart w:id="507" w:name="Tc_Appy4Jkr5kCR4Og9hjhiEA_32_0"/>
      <w:bookmarkStart w:id="508" w:name="Tc_OjEtXTgMXEK683pntC-5Ww_31_6"/>
      <w:bookmarkStart w:id="509" w:name="Tc_Th7IKAI5bECDy4Ui8R7F-w_31_5"/>
      <w:bookmarkStart w:id="510" w:name="Tc__Y5p-jcNw0OOJrRvIwndKA_31_2"/>
      <w:bookmarkStart w:id="511" w:name="Tc_ypcwCDQIM06HbbLjFUdkcQ_31_0"/>
      <w:bookmarkStart w:id="512" w:name="Tc_wiZVOV2Eb0WpWuN-vfQ-Zg_30_0"/>
      <w:bookmarkStart w:id="513" w:name="Tc_9IRjryxPxEag8sgasma45w_29_5"/>
      <w:bookmarkStart w:id="514" w:name="Tc_huKjgP0BW0eyaLAyA4bf6g_29_2"/>
      <w:bookmarkStart w:id="515" w:name="Tc_itHP_lE92U2kQQGS6CkCXA_29_0"/>
      <w:bookmarkStart w:id="516" w:name="Tc_5LrQH85bAU2Utz-ybG6wVg_28_0"/>
      <w:bookmarkStart w:id="517" w:name="Tc_fgHvx34cDUqW53Fb5dLg0A_27_0"/>
      <w:bookmarkStart w:id="518" w:name="Tc_rYWXILqkPkypshcXvatgvg_25_0"/>
      <w:bookmarkStart w:id="519" w:name="Tc_h1QzonPScEaBFLR39Gck1Q_24_0"/>
      <w:bookmarkStart w:id="520" w:name="Tc_0pOTrCwlZkydafRQwxEGqw_23_0"/>
      <w:bookmarkStart w:id="521" w:name="Tc_MPumtdBclUiJ0XZrTiQkjg_22_6"/>
      <w:bookmarkStart w:id="522" w:name="Tc_zIFqvY1QQUSB5CS21_guLw_22_0"/>
      <w:bookmarkStart w:id="523" w:name="Tc_4-AGgKBBcUqGJWbva5HR0g_21_3"/>
      <w:bookmarkStart w:id="524" w:name="Tc_OieKuEPM_Uml7ttFXaEWqQ_21_0"/>
      <w:bookmarkStart w:id="525" w:name="Tc_vMg6YlEWhkmQA-T8BKtzxQ_20_0"/>
      <w:bookmarkStart w:id="526" w:name="Tc_xH6f2oMJykeDCGBByAHAJQ_19_0"/>
      <w:bookmarkStart w:id="527" w:name="Tc_TwqFG3loikGfvrHZQFqyuA_18_0"/>
      <w:bookmarkStart w:id="528" w:name="Tc_06fN7utVx0OCKNX1mqGP1A_17_0"/>
      <w:bookmarkStart w:id="529" w:name="Tc_-L_rAORhGEqjoaM8KEESJg_16_0"/>
      <w:bookmarkStart w:id="530" w:name="Tc_CDeTkh3XH02O53bfSy6HkA_15_0"/>
      <w:bookmarkStart w:id="531" w:name="Tc_EeX5F8pEfUiD64-mhdHy7Q_14_0"/>
      <w:bookmarkStart w:id="532" w:name="Tc_-L-QlcRMiECExqc5_xnJqg_13_0"/>
      <w:bookmarkStart w:id="533" w:name="Tc_hZGyHy2exEGO0c3f04o_VA_12_0"/>
      <w:bookmarkStart w:id="534" w:name="Tc_bOrWP4Zwj0Cw_WDrr8rHhQ_11_6"/>
      <w:bookmarkStart w:id="535" w:name="Tc_H8AZFdRAs0C7tpZgggBrzg_11_0"/>
      <w:bookmarkStart w:id="536" w:name="Tc_tI0e3lipqU62SepXgmfBNw_10_6"/>
      <w:bookmarkStart w:id="537" w:name="Tc_eKqsIzQuVUO_s0Cq9yz9DQ_10_0"/>
      <w:bookmarkStart w:id="538" w:name="Tc_KtqWsq1dJkmb2l2TXm6pzw_9_3"/>
      <w:bookmarkStart w:id="539" w:name="Tc_7H_Lslxe7k6rULZLk_r4Gg_9_0"/>
      <w:bookmarkStart w:id="540" w:name="Tc_4qWZ7AxRPkis2HQHNDrBjg_8_0"/>
      <w:bookmarkStart w:id="541" w:name="Tc_kOtL0ddTckCVwYC3AF5Cog_7_0"/>
      <w:bookmarkStart w:id="542" w:name="Tc_Am6Lho5Vv02GGWQYHLLK0A_6_0"/>
      <w:bookmarkStart w:id="543" w:name="Tc_GePNlIE8y0-Jn1wSycL-MQ_5_0"/>
      <w:bookmarkStart w:id="544" w:name="Tc_na7fQljVE0KIkCTyHW23cg_4_5"/>
      <w:bookmarkStart w:id="545" w:name="Tc_66IRBjlapkyCge81hBDUmw_4_2"/>
      <w:bookmarkStart w:id="546" w:name="Tc_PY1sX1f_uUeaeUkCrp8aAA_4_0"/>
      <w:bookmarkStart w:id="547" w:name="Tc_s15zNx4pNEmVjfbDlvhnSQ_3_0"/>
      <w:bookmarkStart w:id="548" w:name="Tc_iecjQKMRrUe2rjTxAaN70g_2_5"/>
      <w:bookmarkStart w:id="549" w:name="Tc_FLG1w1rtl0OLa80ChwEbyw_2_2"/>
      <w:bookmarkStart w:id="550" w:name="Tc_jwQDp6fgtEChgD0oU1gpVg_1_2"/>
      <w:bookmarkStart w:id="551" w:name="_b366b8a2_df1e_4d62_bb3e_61c139c67ae4"/>
      <w:bookmarkStart w:id="552" w:name="Tc_GKJaJsT1z0C_vuG1h_aCtw_35_5"/>
      <w:bookmarkStart w:id="553" w:name="Tc_0W06s15sJ06mNmD6xWfj7Q_35_3"/>
      <w:bookmarkStart w:id="554" w:name="Tc_QWIOf-tbkkWRado2thr2HA_35_2"/>
      <w:bookmarkStart w:id="555" w:name="Tc_uBVWUv2zIEuqKDUBFCOJlw_35_0"/>
      <w:bookmarkStart w:id="556" w:name="Tc_bI6mOnimQUqn78HbXRFtRw_34_5"/>
      <w:bookmarkStart w:id="557" w:name="Tc_pTcNd3SgL0262oB5mj1rcg_34_2"/>
      <w:bookmarkStart w:id="558" w:name="Tc_aIezRzeMq0ebSjDZRCmrPA_34_0"/>
      <w:bookmarkStart w:id="559" w:name="Tc_nf2OVmzr5km2Nlowu2bMGQ_33_6"/>
      <w:bookmarkStart w:id="560" w:name="Tc_CCuLqxIiyk-O25OVmiuO-g_33_5"/>
      <w:bookmarkStart w:id="561" w:name="Tc_ue9xO0W9wky-5QScg2pIKg_33_2"/>
      <w:bookmarkStart w:id="562" w:name="Tc_99VMiOy9ZE2WtgN8TAp07g_33_0"/>
      <w:bookmarkStart w:id="563" w:name="Tc_Appy4Jkr5kCR4Og9hjhiEA_32_0"/>
      <w:bookmarkStart w:id="564" w:name="Tc_OjEtXTgMXEK683pntC-5Ww_31_6"/>
      <w:bookmarkStart w:id="565" w:name="Tc_Th7IKAI5bECDy4Ui8R7F-w_31_5"/>
      <w:bookmarkStart w:id="566" w:name="Tc__Y5p-jcNw0OOJrRvIwndKA_31_2"/>
      <w:bookmarkStart w:id="567" w:name="Tc_ypcwCDQIM06HbbLjFUdkcQ_31_0"/>
      <w:bookmarkStart w:id="568" w:name="Tc_wiZVOV2Eb0WpWuN-vfQ-Zg_30_0"/>
      <w:bookmarkStart w:id="569" w:name="Tc_9IRjryxPxEag8sgasma45w_29_5"/>
      <w:bookmarkStart w:id="570" w:name="Tc_huKjgP0BW0eyaLAyA4bf6g_29_2"/>
      <w:bookmarkStart w:id="571" w:name="Tc_itHP_lE92U2kQQGS6CkCXA_29_0"/>
      <w:bookmarkStart w:id="572" w:name="Tc_5LrQH85bAU2Utz-ybG6wVg_28_0"/>
      <w:bookmarkStart w:id="573" w:name="Tc_fgHvx34cDUqW53Fb5dLg0A_27_0"/>
      <w:bookmarkStart w:id="574" w:name="Tc_rYWXILqkPkypshcXvatgvg_25_0"/>
      <w:bookmarkStart w:id="575" w:name="Tc_h1QzonPScEaBFLR39Gck1Q_24_0"/>
      <w:bookmarkStart w:id="576" w:name="Tc_0pOTrCwlZkydafRQwxEGqw_23_0"/>
      <w:bookmarkStart w:id="577" w:name="Tc_MPumtdBclUiJ0XZrTiQkjg_22_6"/>
      <w:bookmarkStart w:id="578" w:name="Tc_zIFqvY1QQUSB5CS21_guLw_22_0"/>
      <w:bookmarkStart w:id="579" w:name="Tc_4-AGgKBBcUqGJWbva5HR0g_21_3"/>
      <w:bookmarkStart w:id="580" w:name="Tc_OieKuEPM_Uml7ttFXaEWqQ_21_0"/>
      <w:bookmarkStart w:id="581" w:name="Tc_vMg6YlEWhkmQA-T8BKtzxQ_20_0"/>
      <w:bookmarkStart w:id="582" w:name="Tc_xH6f2oMJykeDCGBByAHAJQ_19_0"/>
      <w:bookmarkStart w:id="583" w:name="Tc_TwqFG3loikGfvrHZQFqyuA_18_0"/>
      <w:bookmarkStart w:id="584" w:name="Tc_06fN7utVx0OCKNX1mqGP1A_17_0"/>
      <w:bookmarkStart w:id="585" w:name="Tc_-L_rAORhGEqjoaM8KEESJg_16_0"/>
      <w:bookmarkStart w:id="586" w:name="Tc_CDeTkh3XH02O53bfSy6HkA_15_0"/>
      <w:bookmarkStart w:id="587" w:name="Tc_EeX5F8pEfUiD64-mhdHy7Q_14_0"/>
      <w:bookmarkStart w:id="588" w:name="Tc_-L-QlcRMiECExqc5_xnJqg_13_0"/>
      <w:bookmarkStart w:id="589" w:name="Tc_hZGyHy2exEGO0c3f04o_VA_12_0"/>
      <w:bookmarkStart w:id="590" w:name="Tc_bOrWP4Zwj0Cw_WDrr8rHhQ_11_6"/>
      <w:bookmarkStart w:id="591" w:name="Tc_H8AZFdRAs0C7tpZgggBrzg_11_0"/>
      <w:bookmarkStart w:id="592" w:name="Tc_tI0e3lipqU62SepXgmfBNw_10_6"/>
      <w:bookmarkStart w:id="593" w:name="Tc_eKqsIzQuVUO_s0Cq9yz9DQ_10_0"/>
      <w:bookmarkStart w:id="594" w:name="Tc_KtqWsq1dJkmb2l2TXm6pzw_9_3"/>
      <w:bookmarkStart w:id="595" w:name="Tc_7H_Lslxe7k6rULZLk_r4Gg_9_0"/>
      <w:bookmarkStart w:id="596" w:name="Tc_4qWZ7AxRPkis2HQHNDrBjg_8_0"/>
      <w:bookmarkStart w:id="597" w:name="Tc_kOtL0ddTckCVwYC3AF5Cog_7_0"/>
      <w:bookmarkStart w:id="598" w:name="Tc_Am6Lho5Vv02GGWQYHLLK0A_6_0"/>
      <w:bookmarkStart w:id="599" w:name="Tc_GePNlIE8y0-Jn1wSycL-MQ_5_0"/>
      <w:bookmarkStart w:id="600" w:name="Tc_na7fQljVE0KIkCTyHW23cg_4_5"/>
      <w:bookmarkStart w:id="601" w:name="Tc_66IRBjlapkyCge81hBDUmw_4_2"/>
      <w:bookmarkStart w:id="602" w:name="Tc_PY1sX1f_uUeaeUkCrp8aAA_4_0"/>
      <w:bookmarkStart w:id="603" w:name="Tc_s15zNx4pNEmVjfbDlvhnSQ_3_0"/>
      <w:bookmarkStart w:id="604" w:name="Tc_iecjQKMRrUe2rjTxAaN70g_2_5"/>
      <w:bookmarkStart w:id="605" w:name="Tc_FLG1w1rtl0OLa80ChwEbyw_2_2"/>
      <w:bookmarkStart w:id="606" w:name="Tc_jwQDp6fgtEChgD0oU1gpVg_1_2"/>
      <w:bookmarkStart w:id="607" w:name="_b366b8a2_df1e_4d62_bb3e_61c139c67ae4"/>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tbl>
      <w:tblPr>
        <w:tblW w:w="10205" w:type="dxa"/>
        <w:jc w:val="left"/>
        <w:tblInd w:w="0" w:type="dxa"/>
        <w:tblLayout w:type="fixed"/>
        <w:tblCellMar>
          <w:top w:w="0" w:type="dxa"/>
          <w:left w:w="0" w:type="dxa"/>
          <w:bottom w:w="0" w:type="dxa"/>
          <w:right w:w="0" w:type="dxa"/>
        </w:tblCellMar>
      </w:tblPr>
      <w:tblGrid>
        <w:gridCol w:w="7511"/>
        <w:gridCol w:w="326"/>
        <w:gridCol w:w="211"/>
        <w:gridCol w:w="787"/>
        <w:gridCol w:w="326"/>
        <w:gridCol w:w="211"/>
        <w:gridCol w:w="833"/>
      </w:tblGrid>
      <w:tr>
        <w:trPr/>
        <w:tc>
          <w:tcPr>
            <w:tcW w:w="7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769485" cy="175260"/>
                      <wp:effectExtent l="0" t="0" r="0" b="0"/>
                      <wp:wrapNone/>
                      <wp:docPr id="74" name="Frame74"/>
                      <a:graphic xmlns:a="http://schemas.openxmlformats.org/drawingml/2006/main">
                        <a:graphicData uri="http://schemas.microsoft.com/office/word/2010/wordprocessingShape">
                          <wps:wsp>
                            <wps:cNvSpPr txBox="1"/>
                            <wps:spPr>
                              <a:xfrm>
                                <a:off x="0" y="0"/>
                                <a:ext cx="476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9745" cy="175260"/>
                      <wp:effectExtent l="0" t="0" r="0" b="0"/>
                      <wp:wrapNone/>
                      <wp:docPr id="77" name="Frame77"/>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8955" cy="175260"/>
                      <wp:effectExtent l="0" t="0" r="0" b="0"/>
                      <wp:wrapNone/>
                      <wp:docPr id="80" name="Frame8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7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(20,430)</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settlement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(decreases)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(25,171)</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note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convertible note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insurance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issuance of common stock and warrants issued in private placement, net of issuance costs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22,638</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22,120</w:t>
            </w:r>
          </w:p>
        </w:tc>
      </w:tr>
      <w:tr>
        <w:trPr/>
        <w:tc>
          <w:tcPr>
            <w:tcW w:w="7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27,605</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24,548</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as principal and interest repayment for convertible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r>
      <w:tr>
        <w:trPr/>
        <w:tc>
          <w:tcPr>
            <w:tcW w:w="7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warrants as offering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7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for settlement of accrued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608" w:name="a1Organization_922140"/>
      <w:bookmarkEnd w:id="608"/>
      <w:r>
        <w:rPr>
          <w:rFonts w:ascii="Times New Roman;Times;serif" w:hAnsi="Times New Roman;Times;serif"/>
          <w:b/>
          <w:sz w:val="20"/>
        </w:rPr>
        <w:t>1. Organization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clinical-stage pharmaceutical company which applies innovative science to known molecules to develop life-saving medicines through its wholly-owned operating subsidiary, NeuroRx. The Company's foundation product, NRX-101 (D-cylcoserine/Lurasidone),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engaged in the development of NRX-101, a fixed dose combination of D-cycloserine, or DCS, and lurasidone for the treatment of suicidal bipolar depression and potentially for other future indications. In January 2023 the Company met with the FDA and was guided to expand its intended use of NRX-101 from the original population of patients with acute suicidality who might be treated in the hospital environment to the broader population of patients with subacute suicidal ideation (now described by the Company as Treatment-Resistant Bipolar Depression) who are treated in the outpatient setting. This broader population of patients are the current target population of the ongoing clinical trial.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guidance of the FDA and the Company’s completion of manufacturing for phase 3/commercial stage investigational product, the Company upgraded the ongoing clinical trial to a phase 2b/3 trial, the results of which have the potential to be used for registrational filings. The Company is engaged in that ongoing clinical trial of NRX-101 vs. lurasidone in patients with treatment-resistant bipolar depression with the objective of demonstrating a decrease in depression scores and scores of suicidal ideation in patients treated with NRX-101 compared to those treated with lurasidone alone.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trial was originally begun as an exploratory study in Q2 2022. In Q1 2023 the study’s independent Data Safety Monitoring Board (DSMB) reviewed both safety and unblinded efficacy data for the first 50 patients in the clinical trial and advised the Company that no safety concerns were identified. Moreover, the DSMB did not identify a futility signal, suggesting that the trial has potential to demonstrate a statistically significant outcome with additional enrollment. On this basis, the DSMB advised management to continue enrolling study participants.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first quarter of 2023, the Company refined its ability to validate the psychometric ratings that are used to assess the efficacy endpoints for the clinical trial. The Company relies upon a team of veteran raters who both train independent site raters and monitor the technical quality of each rating. A standard was set of 90% or better congruence between the Company’s veteran rating team and site raters. This standard was met for all study participants whose ratings were obtained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their primary language and management believes that this standard can be maintained for the duration of the trial. The Company has recently released research findings that demonstrate better than 94% congruence on the Montgomery Asberg Depression Rating Scale (MADRS), which constitutes the primary efficacy endpoint.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2023, the Company contracted with 1nHealth to initiate a recruitment campaign that may cover up to 45 states in the U.S. to recruit sufficient participants for this enlarged trial. The Company has similarly broadened its relationship with Science 37, a contract research organization that conducts decentralized clinical trials, to enroll participants identified by the 1nHealth recruitment initiative and randomize them to be treated within the broadened clinical trial. 1nHealth has additionally engaged “The Mighty,” a voice-of-the-patient organization with national reach to publicize the clinical trial to the 800,000+ subscribers who have indicated a focus on bipolar depression and suicidality.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Q1 2023, the Company announced the participation of Prof. Andrew Nierenberg, M.D., Head of the Massachusetts General Hospital (MGH) Dauton Family Center for Bipolar Treatment Innovation as the Principal Investigator of the clinical trial. The Company has now initiated clinical trial sites at Northwestern University (Chicago) and University of Texas, Austin, in addition to commercial research sites.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completed manufacture of all clinical supplies required for its ongoing clinical trials. This initiative is expected to yield stability data sufficient to support a shelf life in excess of two years at time of potential drug launch (should the clinical trials be successful). The completion of this manufacturing milestone may allow the Company to decrease ongoing expenditure associated with manufacturing and development of chemical manufacturing controls.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June 2, 2023, the Company entered into an Exclusive, Global - Development, Supply, Marketing &amp; License Agreement (the “License Agreement”) with Alvogen Pharma US, Inc., Alvogen, Inc. and Lotus Pharmaceutical Co. Ltd. (collectively, “Alvogen”). </w:t>
      </w:r>
      <w:r>
        <w:rPr>
          <w:rFonts w:ascii="Times New Roman;Times;serif" w:hAnsi="Times New Roman;Times;serif"/>
          <w:sz w:val="20"/>
        </w:rPr>
        <w:t xml:space="preserve">Under the License Agreement, NRx granted Alvogen an exclusive (even as to NRx and its affiliates) worldwide, transferable and sublicensable license under certain intellectual property (including 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period. During the term of the License Agreement, the parties have agreed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pStyle w:val="TextBody"/>
        <w:shd w:fill="FFFFFF" w:val="clear"/>
        <w:bidi w:val="0"/>
        <w:spacing w:before="0" w:after="0"/>
        <w:ind w:left="0" w:right="0" w:firstLine="72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Progress on NRX-100 (ketamine)</w:t>
      </w:r>
      <w:r>
        <w:rPr>
          <w:rFonts w:ascii="Times New Roman;Times;serif" w:hAnsi="Times New Roman;Times;serif"/>
          <w:sz w:val="2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Q1 management met with the psychiatry division of the FDA to discuss paths to market for NRX-101 as monotherapy and as sequential therapy following stabilization with ketamine. The FDA indicated that treatment following ketamine would require data sufficient to file a New Drug Application for the use of ketamine as a stabilization agent. Currently, the FDA has limited data on file that demonstrates the safety and efficacy of ketamine. Accordingly, the Company has established a scientific collaboration with Prof. Marion Leboyer of Paris, France and Prof. Mocrane Abbar of Lyon, France in order to incorporate the results of a 160-person inpatient trial of intravenous ketamine vs. placebo for the stabilization of patients admitted for acute suicidality. The findings of the trial demonstrate a statistically significant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reduction in both suicidality (the primary endpoint) and depression (the secondary endpoint) among patients treated with intravenous ketamine compared to those treated with placebo.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negotiated a data sharing agreement with the Centre Hospitalier Universitaire De Nîmes in France in order to permit deidentified patient level data to be transmitted by NRx to the FDA for regulatory purposes. The Company is of the belief that these multicenter, randomized prospective data, combined with randomized, prospective data on more than 200 US patients when submitted for review at a patient level will likely be sufficient to demonstrate preliminary safety and efficacy of intravenous ketamine in acutely suicidal patients. Data are expected to be transmitted to FDA by the end of Q3.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New Therapeutic Targets: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exploring three new therapeutic targets for NRX-101 and related drugs: treatment of Chronic Pain, treatment of PTSD, and treatment of urinary tract infection.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Treatment of Chronic Pain: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rationale for treatment of chronic pain with DCS is outlined in a 2016 scientific paper published by Schnitzer, et. al.  In brief, DCS as an N-methyl-D-aspartate (“NMDA”) antagonist drug has demonstrated extensive nonclinical and early clinical efficacy in: (i) decreasing the response to nociceptive pain (i.e., pain triggered by pain receptors in the body) and (ii) decreasing craving for opioid drugs, with evidence that DCS is both nonaddictive and non-neurotoxic. In order to support its development of NRX-101 for treatment of chronic pain, the Company has licensed US Patent 8,653,120 from Apkarian Technologies and retained Prof. Apkar Vania Apkarian (the inventor) as a consultant to the Company. The Company believes that its ongoing composition of matter patents additionally apply to the use of NRX-101 in the treatment of chronic pain, as does its patent portfolio related to the treatment of fear memory with NRX-101.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awaiting results of a 200-person randomized prospective trial funded by the US Department of Defense (NCT 03535688) in which patients with chronic pain were randomly assigned to DCS 400mg/day vs. placebo. These results are expected by year end 2023 and, if positive, are expected to provide a Breakthrough Therapy path towards treatment of chronic pain with DCS and DCS-containing medicines. In anticipation of these findings, the Company has established an Investigational New Drug (IND) file for NRX-101 in the treatment of Chronic Pain and submitted NRX-101 for review to the EPPICNET consortium of the National Institutes of Health.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Treatment of PTSD: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previously identified the rationale for treating Post Traumatic Stress Disorder with NMDA antagonist drugs. Based on the near-term data associated with the use of DCS in chronic pain and recent in-licensing of US8653120, management has elected to apply available resources to the chronic pain indication in the near term.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Treatment of Urinary Tract Infection and Urosepsis: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recent years, increased antibiotic resistance to common pathogens that cause urinary tract infections and urosepsis (i.e., sepsis originating in the urinary tract) has resulted in a marked increase in hospitalization and death. The US Center for Disease Control and Prevention reports that more than 1.7 million Americans contract sepsis each year, of whom at least 350,000 die during their hospitalization or are discharged to hospice. DCS is currently approved for the treatment of urinary tract infection and, as recently as 2015 was demonstrated to be effective against pathogens that are increasingly resistant to first- and second-line antibiotics.  DCS is not widely used, however, because of its known propensity to cause hallucination at therapeutically effective doses. The Company believes that the combination of DCS with a 5-HT2A antagonist in NRX-101 has the potential to treat antibiotic-resistant urinary tract infections with decreased propensity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cause unwanted CNS effects. The Company has initiated pre-clinical research to evaluate whether current antibiotic-resistant pathogens are resistant to NRX-101 both in laboratory culture and simulated urine.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the Company had $15.0 million in cash. Since inception, the Company has experienced net losses and negative cash flows from operations each fiscal year. The Company has no revenues and expects to continue to incur operating losses for the foreseeable future and may never become profitable. The Company believes that it has the funds necessary to support its operations through the fourth quarter of 2023. The Company’s ability to support its ongoing capital needs is dependent on its ability to continue to raise equity and/or debt financing, which may not be available on favorable terms, or at all, in order to continue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8, 2023, NRx Pharmaceuticals entered into a securities purchase agreement (the “Securities Purchase Agreement”) with certain accredited investors (the “March Investors”), providing for the issuance and sale of 3,866,666 shares of the Company’s common stock (“Common Stock”) and warrants to purchase up to 3,866,666 shares of Common Stock (the “March Investor Warrants”) in a registered direct offering priced at-the-market under Nasdaq rules for a purchase price of $0.75 per share (the “March Offering”). The March Investor Warrants have an exercise price of $0.75 per share, are exercisable beginning on September 8, 2023 (the “March Initial Exercise Date”) and will expire 5 years from the March Initial Exercise Date. The aggregate gross proceeds to the Company from the March Offering were approximately $2.9 million. The Company intends to use the net proceeds from such offering for working capital and general corporate purposes.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6, 2023, the Company entered into a securities purchase agreement with certain institutional investors (the “June Investors”), providing for the issuance and sale of 9,670,002 shares of the Company’s Common Stock and warrants to purchase up to 9,670,002 shares of Common Stock (the “June Investor Warrants”). The Common Stock was issued in a registered direct offering for a purchase price of $0.65 per share (the “June Offering”) and the June Investor Warrants were offered pursuant to a private placement under Section 4(a)(2) of the Securities Act. The June Investor Warrants have an exercise price of $0.6525 per share, are initially exercisable beginning six months following the date of issuance (the “June Initial Exercise Date”) and will expire 5 years from the June Initial Exercise Date. The aggregate net cash proceeds to the Company from the June Offering were approximately $5.71 million. The Company intends to use the net proceeds from such offering for working capital and general corporate purposes. </w:t>
      </w:r>
    </w:p>
    <w:p>
      <w:pPr>
        <w:pStyle w:val="TextBody"/>
        <w:bidi w:val="0"/>
        <w:spacing w:before="0" w:after="0"/>
        <w:ind w:left="0" w:right="0" w:hanging="0"/>
        <w:jc w:val="both"/>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ongoing clinical activities continue to generate losses and net cash outflows from operations. The Company plans to pursue additional equity or debt financing or refinancing opportunities in 2023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unaudited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accompanying unaudited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convertible note payable, earnout cash liability,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guidance classifies fair value measurements in one of the following three categories for disclosure purposes: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1: Quoted prices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2: Inputs other than Level 1 prices for similar assets or liabilities that are directly or indirectly observable in the marketplace.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 and Off-Balance Sheet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The Company has not experienced any losses on its deposits of cash. The Company maintains a portion of its cash and cash equivalent balances in the form of a money market account with a financial institution that management believes to be creditworthy.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 Recognition</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enters into contractual arrangements that may include licenses to intellectual property and research and development services. When such contractual arrangements are determined to be accounted for in accordance with ASC 606, </w:t>
      </w:r>
      <w:r>
        <w:rPr>
          <w:rFonts w:ascii="Times New Roman;Times;serif" w:hAnsi="Times New Roman;Times;serif"/>
          <w:i/>
          <w:sz w:val="20"/>
        </w:rPr>
        <w:t xml:space="preserve">Revenue from Contracts with Customers </w:t>
      </w:r>
      <w:r>
        <w:rPr>
          <w:rFonts w:ascii="Times New Roman;Times;serif" w:hAnsi="Times New Roman;Times;serif"/>
          <w:sz w:val="20"/>
        </w:rPr>
        <w:t>(“ASC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License Agreement with Alvogen as further discussed in Note 6 below is accounted for in accordance with ASC 606. In accordance with ASC 606, the Company recognizes revenue when its customer obtains control of promised goods or services, in an amount that reflects the consideration which the Company expects to receive in exchange for those goods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 services. To determine revenue recognition for arrangements that the Company determines are within the scope of ASC 606, it performs the following five steps: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identify the contract(s) with a customer;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 identify the performance obligations in the contract;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 determine the transaction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iv. allocate the transaction price to the performance obligations within the contract; and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 recognize revenue when (or as) the entity satisfies a performance obligation.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only applies the five-step model to contracts when it determines that it is probable it will collect the consideration it is entitled to in exchange for the goods or services it transfers to the customer.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revenue arrangements include the following: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Milestone Payments: At the inception of an agreement that includes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Royalties: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w:t>
      </w:r>
    </w:p>
    <w:p>
      <w:pPr>
        <w:pStyle w:val="TextBody"/>
        <w:bidi w:val="0"/>
        <w:spacing w:before="0" w:after="0"/>
        <w:ind w:left="0" w:right="0" w:hanging="0"/>
        <w:jc w:val="both"/>
        <w:rPr>
          <w:color w:val="0000EF"/>
        </w:rPr>
      </w:pPr>
      <w:r>
        <w:rPr>
          <w:color w:val="0000EF"/>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Services: The Company is incurring research costs in association with the Alvogen agreement. After the First Milestone Payment (as defined in Note 6 below), the Company will be reimbursed for certain costs incurred related to reasonable and documented out-of-pocket costs for clinical and non-clinical development activities. The Company will recognize revenue for the reimbursed costs when the First Milestone Payment contingencies have been achieved and the Company has an enforceable claim to the reimbursed costs.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6, “Alvogen Licensing Agreement”, for further information on the application of ASC 606 to the License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Convertible Note Payable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The portion of total changes in fair value of the convertible note attributable to changes in instrument-specific credit risk are determined through specific measurement of periodic changes in the discount rate assumption exclusive of base market changes and are presented as a component of comprehensive income in the accompanying Unaudited Condensed Consolidated Statements of Operations and Comprehensive Loss. As a result of electing the fair value option, direct costs and fees related to the convertible promissory notes are expensed as incurred.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609" w:name="_Hlk110498126"/>
      <w:bookmarkEnd w:id="609"/>
      <w:r>
        <w:rPr>
          <w:rFonts w:ascii="Times New Roman;Times;serif" w:hAnsi="Times New Roman;Times;serif"/>
          <w:sz w:val="20"/>
        </w:rPr>
        <w:t>the time to expiration. Probability of default is estimated using Bloomberg's Default Risk function which uses our financial information to calculate a default risk specific to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consolidated statements of operations based upon the underlying individual’s role at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w:t>
      </w:r>
      <w:r>
        <w:rPr>
          <w:rFonts w:ascii="Times New Roman;Times;serif" w:hAnsi="Times New Roman;Times;serif"/>
          <w:i/>
          <w:sz w:val="20"/>
        </w:rPr>
        <w:t>Distinguishing Liabilities from Equity</w:t>
      </w:r>
      <w:r>
        <w:rPr>
          <w:rFonts w:ascii="Times New Roman;Times;serif" w:hAnsi="Times New Roman;Times;serif"/>
          <w:sz w:val="20"/>
        </w:rPr>
        <w:t xml:space="preserve"> (“ASC 480”) and ASC 815, </w:t>
      </w:r>
      <w:r>
        <w:rPr>
          <w:rFonts w:ascii="Times New Roman;Times;serif" w:hAnsi="Times New Roman;Times;serif"/>
          <w:i/>
          <w:sz w:val="20"/>
        </w:rPr>
        <w:t>Derivatives and Hedging</w:t>
      </w:r>
      <w:r>
        <w:rPr>
          <w:rFonts w:ascii="Times New Roman;Times;serif" w:hAnsi="Times New Roman;Times;serif"/>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Private Placement Warrants (as defined below) was estimated using a Black Scholes valuation approach and the fair value of the Substitute Warrants (as defined below) was estimated using a modified Black Scholes valuation approach which applies a probability factor based on the probabilities of achieving earnout cash milestone and/or earnout shares milestone at each reporting period (see Notes 9 and 11).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Modification of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taxes are recorded in accordance with ASC 740, </w:t>
      </w:r>
      <w:r>
        <w:rPr>
          <w:rFonts w:ascii="Times New Roman;Times;serif" w:hAnsi="Times New Roman;Times;serif"/>
          <w:i/>
          <w:sz w:val="20"/>
        </w:rPr>
        <w:t>Income Taxes</w:t>
      </w:r>
      <w:r>
        <w:rPr>
          <w:rFonts w:ascii="Times New Roman;Times;serif" w:hAnsi="Times New Roman;Times;serif"/>
          <w:sz w:val="20"/>
        </w:rPr>
        <w:t xml:space="preserve"> (“ASC 740”), which provides for deferred taxes using an asset and liability approach. The Company recognizes deferred tax assets and liabilities for the expected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610" w:name="Tc_aRdWEbJcgEaKFsV-Q5YvTQ_7_6"/>
      <w:bookmarkStart w:id="611" w:name="Tc_JTGTNIa_kkuQqKgi9yl4xw_7_2"/>
      <w:bookmarkStart w:id="612" w:name="Tc_vgLaA5T1hkavNg4JBVguOA_7_0"/>
      <w:bookmarkStart w:id="613" w:name="Tc_F22JYaajvkiEUveGZB-YVQ_6_6"/>
      <w:bookmarkStart w:id="614" w:name="Tc_RXwPqAeFNkiyyO-A9EkBKQ_6_2"/>
      <w:bookmarkStart w:id="615" w:name="Tc_7D9UhLYB1k6crKQDMxUyRw_6_0"/>
      <w:bookmarkStart w:id="616" w:name="Tc_kHreWpS6Z0SP6N6bsBm-lA_5_0"/>
      <w:bookmarkStart w:id="617" w:name="Tc_7TrILcfop0qZKJcK0p9LOA_4_8"/>
      <w:bookmarkStart w:id="618" w:name="Tc_fm9ggIfhvU24yng8F-e6pg_4_4"/>
      <w:bookmarkStart w:id="619" w:name="Tc_gFJ06M5eRUK7G2e282g9tA_4_0"/>
      <w:bookmarkStart w:id="620" w:name="Tc_Y6rYKZb6X0ivLyW_yg_e5g_3_0"/>
      <w:bookmarkStart w:id="621" w:name="Tc_1ys6cwUtgEWXL6zmje94OQ_2_8"/>
      <w:bookmarkStart w:id="622" w:name="Tc_VhLcXGcda0KmOdjJcLpZbQ_2_6"/>
      <w:bookmarkStart w:id="623" w:name="Tc_SYr_RghgUU-H5glmMN05RQ_2_4"/>
      <w:bookmarkStart w:id="624" w:name="Tc_60P-hQE770eF1ZfbyasG_g_2_2"/>
      <w:bookmarkStart w:id="625" w:name="Tc_Gk_SlX02702tANWvnTgr7g_1_6"/>
      <w:bookmarkStart w:id="626" w:name="Tc_-gzyR0Xn4UexBu0G4JLRcA_1_2"/>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ascii="Times New Roman;Times;serif" w:hAnsi="Times New Roman;Times;serif"/>
          <w:sz w:val="20"/>
        </w:rPr>
        <w:t>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9"/>
        <w:gridCol w:w="109"/>
        <w:gridCol w:w="1036"/>
        <w:gridCol w:w="326"/>
        <w:gridCol w:w="1036"/>
        <w:gridCol w:w="326"/>
        <w:gridCol w:w="1036"/>
        <w:gridCol w:w="326"/>
        <w:gridCol w:w="1081"/>
      </w:tblGrid>
      <w:tr>
        <w:trPr/>
        <w:tc>
          <w:tcPr>
            <w:tcW w:w="4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129915" cy="175260"/>
                      <wp:effectExtent l="0" t="0" r="0" b="0"/>
                      <wp:wrapNone/>
                      <wp:docPr id="81" name="Frame81"/>
                      <a:graphic xmlns:a="http://schemas.openxmlformats.org/drawingml/2006/main">
                        <a:graphicData uri="http://schemas.microsoft.com/office/word/2010/wordprocessingShape">
                          <wps:wsp>
                            <wps:cNvSpPr txBox="1"/>
                            <wps:spPr>
                              <a:xfrm>
                                <a:off x="0" y="0"/>
                                <a:ext cx="312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7860" cy="175260"/>
                      <wp:effectExtent l="0" t="0" r="0" b="0"/>
                      <wp:wrapNone/>
                      <wp:docPr id="83"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85" name="Frame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7860" cy="175260"/>
                      <wp:effectExtent l="0" t="0" r="0" b="0"/>
                      <wp:wrapNone/>
                      <wp:docPr id="87" name="Frame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86435" cy="175260"/>
                      <wp:effectExtent l="0" t="0" r="0" b="0"/>
                      <wp:wrapNone/>
                      <wp:docPr id="89" name="Frame8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4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2,706,115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2,706,115</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30,021,591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17,521,753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30,021,591</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17,521,753</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22,209,280</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22,209,280</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 from exercised Substitute Options and Substitute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1,229,925</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1,229,925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and are adopted by the Company as of the specified effective date. </w:t>
      </w:r>
      <w:r>
        <w:rPr>
          <w:rFonts w:ascii="Times New Roman;Times;serif" w:hAnsi="Times New Roman;Times;serif"/>
          <w:sz w:val="20"/>
          <w:shd w:fill="FFFFFF" w:val="clear"/>
        </w:rPr>
        <w:t>For the six-months ended June 30, 2023, there were no new accounting pronouncements or updates to recently issued accounting pronouncements disclosed in the Company’s Annual Report on Form 10-K for the year ended December 31, 2022, that management believes materially affect the Company’s present or future results of operations, overall financial condition, liquidity or disclosures.</w:t>
      </w:r>
    </w:p>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lineRule="auto" w:line="357" w:before="0" w:after="240"/>
        <w:ind w:left="0" w:right="0" w:hanging="0"/>
        <w:jc w:val="both"/>
        <w:rPr>
          <w:rFonts w:ascii="Times New Roman;Times;serif" w:hAnsi="Times New Roman;Times;serif"/>
          <w:sz w:val="20"/>
        </w:rPr>
      </w:pPr>
      <w:bookmarkStart w:id="627" w:name="Tc_fM9JTUlCkkGINCEQqLsNsw_10_5"/>
      <w:bookmarkStart w:id="628" w:name="Tc_hSgIP287tEGkyXnJ9MDgkQ_10_2"/>
      <w:bookmarkStart w:id="629" w:name="Tc_phKj_bymvkKVBYwJDFp8Yw_10_0"/>
      <w:bookmarkStart w:id="630" w:name="Tc_woqGC-Yr1USTM_jXfDPt2g_9_0"/>
      <w:bookmarkStart w:id="631" w:name="Tc_YWak5xBb7UG1vYE4GWpP8Q_8_0"/>
      <w:bookmarkStart w:id="632" w:name="Tc_JZpAWPFwh0mxUZuN_ksxkw_7_0"/>
      <w:bookmarkStart w:id="633" w:name="Tc_2zxd3c_ST0ytmkYkQ3qx3w_6_0"/>
      <w:bookmarkStart w:id="634" w:name="Tc_9bX8Bqyh5UK5ZTJggb0hyw_5_5"/>
      <w:bookmarkStart w:id="635" w:name="Tc_W82HN7WO0UiqHohWLKxBNA_5_2"/>
      <w:bookmarkStart w:id="636" w:name="Tc_bkVdfL0awE6TYPcHnOInYg_5_0"/>
      <w:bookmarkStart w:id="637" w:name="Tc_8JY208AjaE2AShvxdV8v7w_4_0"/>
      <w:bookmarkStart w:id="638" w:name="Tc_RJ4cccMb2E2WUgkgXWm0kQ_3_2"/>
      <w:bookmarkStart w:id="639" w:name="Tc_wvtbNl6yU0uqld04ktVzxg_2_5"/>
      <w:bookmarkStart w:id="640" w:name="Tc_FAhqmXAjpkidbIr3W7I9ng_2_2"/>
      <w:bookmarkStart w:id="641" w:name="_273e4617_222a_40dd_aa73_916e00e781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rPr>
          <w:rFonts w:ascii="Times New Roman;Times;serif" w:hAnsi="Times New Roman;Times;serif"/>
          <w:b/>
          <w:sz w:val="20"/>
        </w:rPr>
        <w:t>4.</w:t>
      </w:r>
      <w:r>
        <w:rPr>
          <w:rFonts w:ascii="Times New Roman;Times;serif" w:hAnsi="Times New Roman;Times;serif"/>
          <w:sz w:val="20"/>
        </w:rPr>
        <w:t xml:space="preserve"> </w:t>
      </w:r>
      <w:r>
        <w:rPr>
          <w:rFonts w:ascii="Times New Roman;Times;serif" w:hAnsi="Times New Roman;Times;serif"/>
          <w:b/>
          <w:sz w:val="20"/>
        </w:rPr>
        <w:t>Prepaid Expenses and Other Current Assets</w:t>
      </w:r>
    </w:p>
    <w:p>
      <w:pPr>
        <w:pStyle w:val="TextBody"/>
        <w:bidi w:val="0"/>
        <w:spacing w:lineRule="auto" w:line="357" w:before="0" w:after="24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consisted of the following at the dates indicated (in thousands):</w:t>
      </w:r>
    </w:p>
    <w:tbl>
      <w:tblPr>
        <w:tblW w:w="7073" w:type="dxa"/>
        <w:jc w:val="left"/>
        <w:tblInd w:w="0" w:type="dxa"/>
        <w:tblLayout w:type="fixed"/>
        <w:tblCellMar>
          <w:top w:w="0" w:type="dxa"/>
          <w:left w:w="0" w:type="dxa"/>
          <w:bottom w:w="0" w:type="dxa"/>
          <w:right w:w="0" w:type="dxa"/>
        </w:tblCellMar>
      </w:tblPr>
      <w:tblGrid>
        <w:gridCol w:w="3931"/>
        <w:gridCol w:w="326"/>
        <w:gridCol w:w="303"/>
        <w:gridCol w:w="822"/>
        <w:gridCol w:w="146"/>
        <w:gridCol w:w="363"/>
        <w:gridCol w:w="1182"/>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96185" cy="175260"/>
                      <wp:effectExtent l="0" t="0" r="0" b="0"/>
                      <wp:wrapNone/>
                      <wp:docPr id="90" name="Frame9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2405" cy="175260"/>
                      <wp:effectExtent l="0" t="0" r="0" b="0"/>
                      <wp:wrapNone/>
                      <wp:docPr id="92" name="Frame9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1970" cy="175260"/>
                      <wp:effectExtent l="0" t="0" r="0" b="0"/>
                      <wp:wrapNone/>
                      <wp:docPr id="93" name="Frame9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0505" cy="175260"/>
                      <wp:effectExtent l="0" t="0" r="0" b="0"/>
                      <wp:wrapNone/>
                      <wp:docPr id="95" name="Frame9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50570" cy="175260"/>
                      <wp:effectExtent l="0" t="0" r="0" b="0"/>
                      <wp:wrapNone/>
                      <wp:docPr id="96" name="Frame9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6" w:type="dxa"/>
            <w:gridSpan w:val="5"/>
            <w:tcBorders/>
            <w:vAlign w:val="center"/>
          </w:tcPr>
          <w:p>
            <w:pPr>
              <w:pStyle w:val="TableContents"/>
              <w:bidi w:val="0"/>
              <w:spacing w:before="0" w:after="1"/>
              <w:ind w:left="0" w:right="0" w:hanging="0"/>
              <w:jc w:val="center"/>
              <w:rPr/>
            </w:pPr>
            <w:r>
              <w:rPr/>
              <w:t>​</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125" w:type="dxa"/>
            <w:gridSpan w:val="2"/>
            <w:tcBorders/>
            <w:shd w:fill="CCEEFF" w:val="clear"/>
            <w:vAlign w:val="center"/>
          </w:tcPr>
          <w:p>
            <w:pPr>
              <w:pStyle w:val="TableContents"/>
              <w:bidi w:val="0"/>
              <w:spacing w:before="0" w:after="1"/>
              <w:ind w:left="0" w:right="0" w:hanging="0"/>
              <w:jc w:val="center"/>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  </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clinical development expenses </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2,018</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legal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receivables</w:t>
            </w:r>
          </w:p>
        </w:tc>
        <w:tc>
          <w:tcPr>
            <w:tcW w:w="32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4,819</w:t>
            </w:r>
          </w:p>
        </w:tc>
        <w:tc>
          <w:tcPr>
            <w:tcW w:w="14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5,741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2" w:name="Tc_nJjqPIl_CEqw4fHii3LSdw_8_5"/>
      <w:bookmarkStart w:id="643" w:name="Tc_GRA6sjUVUUG07XRO6F9GRA_8_2"/>
      <w:bookmarkStart w:id="644" w:name="Tc_u2o16kJFxUeylOcG56Bxbw_8_0"/>
      <w:bookmarkStart w:id="645" w:name="Tc_8EsmzM8ABE-P6cvbYmDxRw_7_0"/>
      <w:bookmarkStart w:id="646" w:name="Tc_J3-IwjIfPEi8-TlyJhRtAg_6_0"/>
      <w:bookmarkStart w:id="647" w:name="Tc_3wMBYq362kStANS3mFGhVw_5_0"/>
      <w:bookmarkStart w:id="648" w:name="Tc_JOxhssQke0WwTvztXa2ELw_4_5"/>
      <w:bookmarkStart w:id="649" w:name="Tc_UgMi931vV0i7SvYE8wliiw_4_2"/>
      <w:bookmarkStart w:id="650" w:name="Tc_h5G--fXoP0qa2jl9f3GLDQ_4_0"/>
      <w:bookmarkStart w:id="651" w:name="Tc_d-_C8219SkSqiETI3swEqw_3_0"/>
      <w:bookmarkStart w:id="652" w:name="Tc_w2taowDo30WkPK_33nPaYQ_2_3"/>
      <w:bookmarkStart w:id="653" w:name="Tc_41esi7eTokaRvVicFRivoQ_1_6"/>
      <w:bookmarkStart w:id="654" w:name="Tc_r--F5Pp9ykqggKPXAxj5OQ_1_3"/>
      <w:bookmarkStart w:id="655" w:name="_ee4367aa_0c97_4a92_90bb_f56a9c885b65"/>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b/>
          <w:sz w:val="20"/>
        </w:rPr>
        <w:t>5. Accrued and Other 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and other current liabilities consisted of the following at the dates indicated (in thousands):</w:t>
      </w:r>
    </w:p>
    <w:tbl>
      <w:tblPr>
        <w:tblW w:w="7048" w:type="dxa"/>
        <w:jc w:val="left"/>
        <w:tblInd w:w="0" w:type="dxa"/>
        <w:tblLayout w:type="fixed"/>
        <w:tblCellMar>
          <w:top w:w="0" w:type="dxa"/>
          <w:left w:w="0" w:type="dxa"/>
          <w:bottom w:w="0" w:type="dxa"/>
          <w:right w:w="0" w:type="dxa"/>
        </w:tblCellMar>
      </w:tblPr>
      <w:tblGrid>
        <w:gridCol w:w="3736"/>
        <w:gridCol w:w="109"/>
        <w:gridCol w:w="211"/>
        <w:gridCol w:w="1126"/>
        <w:gridCol w:w="109"/>
        <w:gridCol w:w="211"/>
        <w:gridCol w:w="1546"/>
      </w:tblGrid>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546"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employee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4,855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56" w:name="_Hlk141351349"/>
      <w:bookmarkEnd w:id="656"/>
      <w:r>
        <w:rPr>
          <w:rFonts w:ascii="Times New Roman;Times;serif" w:hAnsi="Times New Roman;Times;serif"/>
          <w:b/>
          <w:sz w:val="20"/>
        </w:rPr>
        <w:t>6. Alvogen Licensing Agreement</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2, 2023, the Company entered into the License Agreement with Alvogen. The Company and Alvogen are referred to below individually as a “Party” and collectively as the “Parties.”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License Grant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License Agreement, the Company granted Alvogen an exclusive (even as to the Company and its affiliates) worldwide, transferable and sublicensable license under certain intellectual property (including patents, know-how and trademarks) owned or controlled by the Company to develop (with certain limitations), manufacture, and commercialize the Company’s candidate therapeutic product,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agree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term, the Company is permitted to develop additional products containing D-cycloserine in combination with one or more other active antidepressant or antipsychotic ingredients for use outside of the field of treatment of bipolar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depression with suicidality, such as in post-traumatic stress disorder (PTSD) or chronic pain in depression, in which case, if the Company wishes to license rights to develop or commercialize such additional products or indications, Alvogen has a right of first negotiation to obtain such a license.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Term and Termination</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License Agreement will remain in force until the earlier to occur of (i) 20 years following the first commercial sale of NRX-101 on a country-by-country basis (which may be extended for a two-year period at Alvogen’s request), and (ii) the date that the agreement is terminated under its early termination provisions. Early termination grounds include, subject to applicable cure periods, a material breach of agreement by the other Party, the bankruptcy or insolvency of the other Party, or a party’s reasonable belief that there is an unacceptable risk for harm in humans based upon preclinical safety data or the observation of serious adverse effects in humans.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Alvogen has the right to early termination if (i) the phase 2 study relating to NRX-101 is not completed and/or a successful read out from the study does not occur by March 31, 2024, or (ii) there is no completion of a Type B meeting with the FDA by March 31, 2024. Alvogen may also terminate upon sixty (60) days’ prior written notice to the Company at any time after the First Milestone Payment (as defined below) has been made. The Company also has the right to terminate the License Agreement if the current phase 2 study successfully concludes prior to March 31, 2024 and the Type B meeting with the FDA is completed by March 31, 2024 and Alvogen does not notify the Company within 60 days that it wishes to proceed with the development of NRX-101 or has not paid the First Milestone Payment.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expiration or termination of the License Agreement, the intellectual property rights licensed to Alvogen under the License Agreement will revert to the Company, and all other rights and obligations of each of the parties will immediately cease, except for ant outstanding amounts owed as of the time of such expiration or termination. Upon termination, Alvogen will grant to the Company an exclusive irrevocable, perpetual, worldwide, royalty-bearing, sublicensable, transferrable license under the NDA rights to develop, manufacture, have manufactured, or commercialize the product in the field of bipolar depression with suicidality. Such reversion license would be granted by Alvogen to the Company in exchange for an equitable royalty payable by the Company to Alvogen that would be negotiated and agreed in good faith by the parties within 30 business days of such matter being presented to them.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Milestone Payments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exchange for the license grant and the participation of the Company in the development, regulatory and commercial activities described below, Alvogen will pay the Company an initial $10 million cash payment upon the later of a positive data read-out from the Company’s ongoing Phase 2b/3 clinical trial and completion of the Type B meeting with the U.S. FDA (the “First Milestone Payment”). A second milestone payment of $5 million (the “Approval Payment”) is due upon Alvogen’s receipt of a copy of the FDA’s notice of NDA Approval for Product with the label indication for the treatment of bipolar depression with sub-acute or acute suicidality. Additional bonus milestone payments of increasing amounts up to $330 million will be payable upon the achievement of net sales targets measured over the trailing four quarters. Alvogen also will pay royalties (as described below) to the Company based on the net sales of NRX-101, with a reduction in royalties on a country-by-country basis upon expiration or termination of the Company’s patent protection on the NRX-101 composition.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Royalties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Subject to certain adjustments for sublicensing and other deductions, commencing on the first commercial sale of NRX-101, Alvogen has agreed to pay to the Company tiered royalties calculated on the basis of a percentage, ranging from the low to mid-teens, of annual net sales of NRX-101 measured over the trailing four quarters. In addition, if Alvogen sublicenses NRX-101 in any country other than the U.S. (in which the royalty rates described above will apply), Alvogen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will pay the Company a percentage of any and all consideration received by Alvogen or its affiliates from sublicensing any of the rights granted.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Development and Regulatory Activities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payment of the First Milestone Payment by Alvogen to the Company, each Party has agreed to perform, at its own cost, certain development activities using diligent efforts and in accordance with applicable then-current good manufacturing and other applicable practices, laws and regulations, with the goal of supporting the preparation and filing of an NDA and obtaining regulatory approval for NRX-101. Until the payment of the First Milestone Payment, the Company has the sole right to control and responsibility for all regulatory matters relating to NRX-101, at its sole cost and expense, and the Company shall own all regulatory materials and own all worldwide regulatory approvals for NRX-101.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After the payment of the First Milestone Payment, Alvogen has the sole right and responsibility, at its cost and expense, for all regulatory matters relating to NRX-101, and Alvogen will own all regulatory materials and all regulatory approvals for the product in the licensed territory (and the Company will assign all of its rights in any regulatory materials to Alvogen). Each party has committed to reasonably cooperate with the other in carrying out the development and regulatory activities outlined in the development plan. In addition, Alvogen has agreed to fund the next registrational study of NRX-101 in the field of treatment of bipolar depression with suicidality.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NDA approval of the product in the U.S., Alvogen has agreed to use diligent efforts to commercialize NRX-101 in the U.S., and, for 24 months following such approval, in other countries in the territory upon regulatory approval in each such country. If Alvogen does not commercialize NRX-101 in a country outside of the U.S. in the foregoing 24-month period, then the license may revert back to the Company with respect to such country and the Company would pay Alvogen tiered royalties in the low to mid-teens based on net sales of NRX-101 in such country. The Parties will also enter into a pharmacovigilance agreement to ensure compliance with safety reporting requirements of all applicable regulatory agencies globally with respect to the commercialization of NRX-101.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Commercial Activities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License Agreement, the Company is responsible for and will control the manufacturing of the NRX-101 commercial product and for qualification and regulatory-related activities necessary for the manufacture of the product. The Parties intend to enter into a clinical supply agreement (and a related quality agreement) on reasonable and customary terms, in which the Company will supply Alvogen raw materials and/or finished product without any markup to the future supply price from the Company’s current contract manufacturer. Similarly, prior to initiation of the first Phase 3 study for the commercial product, the Parties will enter into a commercial supply agreement (and a related quality agreement) on reasonable and customary terms, in which the Company will supply Alvogen raw materials and/or finished product without any markup to the future supply price from NRx’s current contract manufacturer. At any time after NDA approval, Alvogen may elect to manufacture, fill and package the product itself or through a third-party supplier subject to the prior approval of the Company. In such case, the parties may also work together to establish a written manufacturing technology transfer plan to transfer manufacturing technology from the Company or the Company’s contract manufacturer to Alvogen or Alvogen’s designated third party supplier. The Company has agreed, as a part of its manufacturing commitments, to make available its qualified technical personnel to consult with Alvogen to complete transfer of the manufacturing technology if required under the License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NDA approval, Alvogen will control and be responsible for advertising, marketing, promotion and marketing, pricing, and terms of sale for the product, all at Alvogen’s sole expense. Alvogen has committed to not shift, allocate, price or discount sales of the product for the purpose of reducing or disadvantaging the net sales of the product in order to reduce the payments owed by Alvogen to the Company under the License Agreement.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2023, the Company has not achieved any milestones nor recognized any revenue associated with the License Agreement.</w:t>
      </w:r>
    </w:p>
    <w:p>
      <w:pPr>
        <w:pStyle w:val="TextBody"/>
        <w:bidi w:val="0"/>
        <w:spacing w:before="0" w:after="0"/>
        <w:ind w:left="0" w:right="0" w:hanging="0"/>
        <w:jc w:val="both"/>
        <w:rPr/>
      </w:pPr>
      <w:r>
        <w:rPr/>
        <w:t> </w:t>
      </w:r>
    </w:p>
    <w:p>
      <w:pPr>
        <w:pStyle w:val="TextBody"/>
        <w:bidi w:val="0"/>
        <w:spacing w:before="0" w:after="240"/>
        <w:ind w:left="0" w:right="0" w:hanging="0"/>
        <w:jc w:val="left"/>
        <w:rPr>
          <w:rFonts w:ascii="Times New Roman;Times;serif" w:hAnsi="Times New Roman;Times;serif"/>
          <w:b/>
          <w:sz w:val="20"/>
        </w:rPr>
      </w:pPr>
      <w:bookmarkStart w:id="657" w:name="_Hlk130992838"/>
      <w:bookmarkEnd w:id="657"/>
      <w:r>
        <w:rPr>
          <w:rFonts w:ascii="Times New Roman;Times;serif" w:hAnsi="Times New Roman;Times;serif"/>
          <w:b/>
          <w:sz w:val="20"/>
        </w:rPr>
        <w:t xml:space="preserve">7. Debt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Convertible Note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4, 2022, the Company entered into a Securities Purchase Agreement (the “SPA”) with Streeterville Capital, LLC, a Utah limited liability company (the “Lender”), and, pursuant to the SPA, issued to the Lender an unsecured promissory note with a face amount of approximately $11.0 million (the “Note”) before an original issue discount of $1.0 million, which was deducted from the proceeds of the Note.</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Note carries a 9% interest rate, has a term of 18 months from the issuance date (the “Maturity Date”) and is redeemable as described below. Any time after the issuance date, the Company has the right to prepay all or any portion of the outstanding balance of the Note. If the Company exercises its right to prepay the Note, the Company will make payment to the Lender of an amount in cash equal to 110% multiplied by the portion of the outstanding balance the Company elects to pay. Beginning on May 4, 2023, the Lender has the right to redeem up to $1.0 million (“Maximum Monthly Redemption Amount”) of the outstanding balance of the Note per month. Payments may be made by the Company, at the Company’s option, (a) in cash with a 10% premium for the amount redeemed, (b) by paying the redemption amount in the form of shares of Common Stock with the number of redemption shares being equal to the portion of the applicable redemption amount divided by the Redemption Conversion Price (as defined below) or (c) a combination of cash and shares of Common Stock. The “Redemption Conversion Price” is equal to 85% multiplied by the average of the two lowest daily volume weighted average prices per share of the Common Stock during the 15 trading days immediately preceding the date that the Lender delivers notice electing to redeem a portion of the Note. The Company’s right to satisfy the redemption amount in shares of Common Stock is subject to certain limitations, including (i) there not being any Equity Conditions Failure (as defined in the Note) and (ii) the Lender not owning more than 4.99% of the outstanding shares of Common Stock. At any time, if the Company’s market capitalization is less than $25.0 million, the 4.99% ownership limitation shall be increased to 9.99%. On March 30, 2023, the Company amended the Note to increase the ownership limitation to 9.99%. If the Company elects to prepay the Note prior to the Maturity Date or elects to pay a portion or all of the Maximum Monthly Redemption Amount in cash, it must pay a premium of 10%, subject to certain exceptions.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the right to make the required payments for the Note in Common Stock subject to certain conditions including ownership and trading volume limitations. </w:t>
      </w:r>
      <w:r>
        <w:rPr>
          <w:rFonts w:ascii="Times New Roman;Times;serif" w:hAnsi="Times New Roman;Times;serif"/>
          <w:sz w:val="20"/>
          <w:shd w:fill="FFFFFF" w:val="clear"/>
        </w:rPr>
        <w:t xml:space="preserve">On July 7, 2023, the Company entered into Amendment #2 to the Convertible Promissory Note (the “Second Amendment”), with the Lender. Pursuant to the Second Amendment, the Company and the Lender agreed to further amend the terms of the Note. In accordance with the Second Amendment, the Company and the Lender agreed to amend the redemption provisions of the Note. In particular, the Company agreed to pay the Lender an amount in cash equal to $1,800,000 on or before July 10, 2023, which amount was paid on July 10, 2023. In addition, on or before the last day of each month until December 31, 2023 (the “Minimum Payment Period”), the Company has agreed to pay the Lender an amount equal to </w:t>
      </w:r>
      <w:r>
        <w:rPr>
          <w:rFonts w:ascii="Times New Roman;Times;serif" w:hAnsi="Times New Roman;Times;serif"/>
          <w:sz w:val="20"/>
        </w:rPr>
        <w:t>$0.4 million in cash, less any redemption amount satisfied in Redemption Conversion Shares (as defined in Note 14 below) for such month (each, a “Minimum Payment”)  The Lender also agreed to waive the application of the Trigger Effect (as defined in the Note) and any of the remedies set forth in Section 4 of the Note that may have occurred up to the date of the amendment. The Company will evaluate and disclose the accounting impacts of the amendment, including any trouble debt restructuring considerations, in filings subsequent to June 30,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Beginning May 1, 2023, in the event (a) the daily dollar trading volume of the Common Stock of the Company on any given trading day is at least fifty percent (50%) greater than the lower of (i) the median daily dollar trading volume over the previous ten trading days or (ii) the daily dollar trading volume on the trading day immediately preceding the date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measurement or (b) if the closing trade price on any given trading day is at least thirty percent greater than the Nasdaq Minimum Price (as defined in the Note), then the Lender will be entitled to redeem over the following ten trading days an amount of indebtedness then outstanding under the Note equal to twice the monthly redemption amount of $1.0 million solely by payment by Common Stock, subject to maximum percentage and other ownership limitations under the SPA and the Note.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 contains certain Trigger Events (as defined in the Note) that generally, if uncured within five trading days, may result in an event of default in accordance with the terms of the Notes (such event, an “Event of Default”). Upon an Event of a Default, the Lender may consider the Note immediately due and payable. Upon an Event of Default, the interest rate may also be increased to the lesser of 18% per annum or the maximum rate permitted under applicable law. As of June 30, 2023, the Company was in compliance with the Note’s terms and there were no Events of Default.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Due to these embedded features within the Note, the Company elected to account for the Note at fair value at inception. Subsequent changes in fair value are recorded as a component of other income (loss) in the Consolidated Statements of Operations.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was expensed as incurred. For the three and six months ended June 30, 2023, the Company recorded a change in fair value of approximately $0.7 and $2.4 million, respectively, related to the change in fair value of the Note which was recognized in other income (expense) on the Unaudited Condensed Consolidated Statement of Operations as a result of the Company’s election of the fair value 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2023, the Company made interest payments on the Note of approximately $0.1 million and issued shares of Common Stock as principal and interest repayments on the Note of $0.2 million.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sz w:val="20"/>
        </w:rPr>
      </w:pPr>
      <w:bookmarkStart w:id="658" w:name="Tc_9Jsamwn_60SwYTaVS7SJ2w_12_5"/>
      <w:bookmarkStart w:id="659" w:name="Tc_EIN6YIkYbkq8QG0QFeAcWA_12_3"/>
      <w:bookmarkStart w:id="660" w:name="Tc_gh365O3sGke6fbyifTEzKA_12_2"/>
      <w:bookmarkStart w:id="661" w:name="Tc_Y0xNdbHX6E6Gm_ALDh4yZQ_12_0"/>
      <w:bookmarkStart w:id="662" w:name="Tc_6A6zNqPpIUS5cmBT-ssB_A_11_5"/>
      <w:bookmarkStart w:id="663" w:name="Tc_FImvHxU_wEGzisywLqWbhQ_11_2"/>
      <w:bookmarkStart w:id="664" w:name="Tc_5E4diQlr9U6hE7ZGfWA3MA_11_0"/>
      <w:bookmarkStart w:id="665" w:name="Tc_UfTA9CI_FkOgX_ShnWFVvg_9_5"/>
      <w:bookmarkStart w:id="666" w:name="Tc_jEG123PJ1ESHCcPAoVyohQ_9_2"/>
      <w:bookmarkStart w:id="667" w:name="Tc_vufkTdav5Eyan5YYkd5QaA_9_0"/>
      <w:bookmarkStart w:id="668" w:name="Tc_f3Q8kjgxqEq1cCWazkmrPQ_8_6"/>
      <w:bookmarkStart w:id="669" w:name="Tc_xnnLGJnSNEyVuoD2iU0wkw_8_0"/>
      <w:bookmarkStart w:id="670" w:name="Tc_Hv50QdToG0aAPHR-Isb6PQ_7_0"/>
      <w:bookmarkStart w:id="671" w:name="Tc_SSmosmdECEeX2OCxpiSTxQ_6_0"/>
      <w:bookmarkStart w:id="672" w:name="Tc__h5Qsh1O70S61VTYZCk0wQ_5_6"/>
      <w:bookmarkStart w:id="673" w:name="Tc_h7A3ScCpbEKCl3Rf9srNxw_5_0"/>
      <w:bookmarkStart w:id="674" w:name="Tc_b5FdYF16dEySwni1DmOrnA_4_0"/>
      <w:bookmarkStart w:id="675" w:name="Tc_5Px1cnXg0kqf7Ub_Kmnang_3_5"/>
      <w:bookmarkStart w:id="676" w:name="Tc_ev0IaH3chk2_JLiXhd8Pbw_3_2"/>
      <w:bookmarkStart w:id="677" w:name="Tc_U02VDMzEjUyq2HKqBKseWA_3_0"/>
      <w:bookmarkStart w:id="678" w:name="Tc_hueInCuuB0SmDcd5bhSEHw_2_2"/>
      <w:bookmarkStart w:id="679" w:name="Tc_dq3o2HWGJkyZ9e1uPwz3Kw_1_5"/>
      <w:bookmarkStart w:id="680" w:name="Tc_3zN9B64n_kS0IOm6uengfg_1_2"/>
      <w:bookmarkStart w:id="681" w:name="_ac542359_d297_4972_8e54_1a2bd98cf522"/>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rFonts w:ascii="Times New Roman;Times;serif" w:hAnsi="Times New Roman;Times;serif"/>
          <w:sz w:val="20"/>
        </w:rPr>
        <w:t>The following table presents the Note as of June 30, 2023 (in thousands):</w:t>
      </w:r>
    </w:p>
    <w:p>
      <w:pPr>
        <w:pStyle w:val="TextBody"/>
        <w:bidi w:val="0"/>
        <w:spacing w:before="0" w:after="0"/>
        <w:ind w:left="0" w:right="0" w:hanging="0"/>
        <w:jc w:val="both"/>
        <w:rPr/>
      </w:pPr>
      <w:r>
        <w:rPr/>
        <w:t>​</w:t>
      </w:r>
    </w:p>
    <w:tbl>
      <w:tblPr>
        <w:tblW w:w="8919" w:type="dxa"/>
        <w:jc w:val="left"/>
        <w:tblInd w:w="0" w:type="dxa"/>
        <w:tblLayout w:type="fixed"/>
        <w:tblCellMar>
          <w:top w:w="0" w:type="dxa"/>
          <w:left w:w="0" w:type="dxa"/>
          <w:bottom w:w="0" w:type="dxa"/>
          <w:right w:w="0" w:type="dxa"/>
        </w:tblCellMar>
      </w:tblPr>
      <w:tblGrid>
        <w:gridCol w:w="6031"/>
        <w:gridCol w:w="109"/>
        <w:gridCol w:w="267"/>
        <w:gridCol w:w="858"/>
        <w:gridCol w:w="109"/>
        <w:gridCol w:w="344"/>
        <w:gridCol w:w="120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829685" cy="175260"/>
                      <wp:effectExtent l="0" t="0" r="0" b="0"/>
                      <wp:wrapNone/>
                      <wp:docPr id="100" name="Frame100"/>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9545" cy="175260"/>
                      <wp:effectExtent l="0" t="0" r="0" b="0"/>
                      <wp:wrapNone/>
                      <wp:docPr id="102" name="Frame10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44830" cy="175260"/>
                      <wp:effectExtent l="0" t="0" r="0" b="0"/>
                      <wp:wrapNone/>
                      <wp:docPr id="103" name="Frame103"/>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8440" cy="175260"/>
                      <wp:effectExtent l="0" t="0" r="0" b="0"/>
                      <wp:wrapNone/>
                      <wp:docPr id="105" name="Frame10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62635" cy="175260"/>
                      <wp:effectExtent l="0" t="0" r="0" b="0"/>
                      <wp:wrapNone/>
                      <wp:docPr id="106" name="Frame10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Principal</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 of the Note before current period change in fair value</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10,235</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through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through accumulated other comprehensive income</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12,692</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60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12,692</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leases office space on a month-to-month basis. The rent expense for the three and six months ended June 30, 2023 was less than $0.1 million and less than $0.1 million, respectively.</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Sponsored Research Agreement with National Jewish Health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former product candidate Aviptadil on propagation of SARS-CoV-2 in alveolar type II cells in vitro (the “Study”). In return for performance of the Study under the Research Agreement, the Company has committed to pay NJ Health approximately $0.4 million upon finalization of the work. As of June 30, 2023, the Company has fully paid NJ Health the total committed amount under this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Relief Therapeutics Collaboration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  </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On November 12, 2022, the Company entered into a Settlement Agreement and Asset Purchase Agreement (“APA”) with Relief Therapeutics Holding AG and Relief Therapeutics International (the “Relief Parties”) to settle the outstanding lawsuit with respect to the Collaboration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280" w:after="240"/>
        <w:ind w:left="0" w:right="0" w:hanging="0"/>
        <w:jc w:val="both"/>
        <w:rPr>
          <w:rFonts w:ascii="Times New Roman;Times;serif" w:hAnsi="Times New Roman;Times;serif"/>
          <w:sz w:val="20"/>
        </w:rPr>
      </w:pPr>
      <w:r>
        <w:rPr>
          <w:rFonts w:ascii="Times New Roman;Times;serif" w:hAnsi="Times New Roman;Times;serif"/>
          <w:sz w:val="20"/>
        </w:rPr>
        <w:t>Under the APA, the Company transferred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Relief Parties have agreed to use commercially reasonable efforts to develop, market, and commercialize the Product, and have sole discretion to select the indications for which they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the Company on aggregate net sales of all Products, subject to a cap on royalty payments of $30.0 million in the aggregate.  In addition, Relief is obligated to use commercially reasonable efforts to continue the Company’s existing Right to Try Program until December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Mutual indemnity provisions in the APA will protect each party from any breaches of the settlement arrangements by the other party, provided, that the Company’s indemnity obligations will not start until the Relief Parties have begun making royalty or milestone payments to the Company,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 that the Relief Parties actually pay to the Company for milestone and royalty payments. The parties closed the APA in December 2022 at which time all claims and counterclaims between the Company and the Relief Parties were dismissed with prejudice.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Share Subscription Facility Agreement - GEM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NeuroRx entered into a share subscription facility agreement (the “GEM Agreement”) with GEM Global Yield LLC SCS and GEM Yield Bahamas Limited (collectively, referred to as “GEM”) with a three-year term which expired in October 2022. Subject to the successful listing of the shares of NeuroRx on a nationally recognized stock exchange, GEM granted NeuroRx an option to require GEM to subscribe for shares of NeuroRx for an aggregate value of up to approximately $95.6 million. The GEM Agreement also included certain provisions which did not meet the U.S. requirements to issue registered shares thus preventing its usage. If shares of NeuroRx were listed on a nationally recognized stock exchange or NeuroRx completed a private transaction which resulted in a change of control, NeuroRx would have been obligated to issue GEM a warrant and pay a commitment fee of $1.9 million. Absent a listing of NeuroRx shares or a private transaction with a change of control during the three-year term, NeuroRx would have no obligations under the GEM Agreement. The Merger contemplated by the Merger Agreement would not have resulted in a listing of NeuroRx shares or a change in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2020, GEM introduced NeuroRx to BRPA. To resolve uncertainties around the application of the GEM Agreement post-Merger, NeuroRx and GEM agreed in March 2021 to issue a warrant to GEM and for the parties to use their good faith efforts to amend the GEM Agreement to meet U.S. requirements to issue registered shares. The warrant was not conditional upon any further events or completion of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 was issued on March 28, 2021, for 3,329,812 shares of NeuroRx common stock at an exercise price of $3.19 per share (the “GEM Warrant”) and the parties agreed that GEM would immediately partially exercise the GEM Warrant for the purchase of 1,496,216 shares (“Initial Exercised Shares”) for $7.5 million. The GEM Warrant will be valid for a period of three years from the date NeuroRx’s stock is listed for trading on a national securities exchange or consummation of a reverse merger transaction of the type contemplated by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2020, the Company recognized a contingent liability for its obligation to issue to GEM certain equity instruments at a discounted per share price. Specifically, as the amount was deemed probable and estimable at December 31, 2020, NeuroRx recorded a liability and settlement expense of $39.5 million to reflect the fair value of the expected GEM Warrant to be issued. On March 28, 2021, when the GEM Warrant was issued, the Company recorded an additional charge of $21.4 million to reflect the increased fair value of the GEM Warrant on its grant date.  Upon issuance, the GEM Warrant was equity classified and was determined to be within the scope of ASC 718, Share-Based Payments (“ASC 718”).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remaining unexercised 1,833,596 shares of NeuroRx common stock of the GEM Warrant became Substitute Warrants (as defined in Note 11 below). These Substitute Warrants were liability classified (see Note 11).   The changes in fair value of these Substitute Warrants were recognized as a gain or loss in the statement of operations until these Substitute Warrants were exercised in July 2021, at which time they were reclassified to additional paid-in capital.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12, 2022, the Company received a demand for arbitration (the “Demand”) from GEM.  The Demand claimed that NeuroRx, failed to satisfy its obligation to pay GEM a commitment fee in the amount of HK$15,000,000 (approximately US$1,919,565 at current exchange rates) pursuant to the GEM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17, 2023, NeuroRx and GEM entered into a settlement and release agreement (the “Settlement Agreement”) pursuant to which the parties agreed to dismiss the arbitration proceeding with prejudice. Pursuant to the Settlement Agreement, on or before August 31, 2023, the Company will issue 678,676 shares of Common Stock to GEM.  Such shares will be registered under a prospectus supplement to the Company’s registration statement on Form S-3 but will be subject to a restriction that they cannot be sold or traded for a period of six months from the effective date of the Settlement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Legal 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currently involved in and may from time to time become involved in various legal actions incidental to our business. As of the date of this report, we are not involved in any legal proceedings that we believe could have a material adverse effect on our financial position or results of operations. However, the outcome of any current or future legal proceeding is inherently difficult to predict and any dispute resolved unfavorably could have a material adverse effect on our business, financial position, and operating results.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terms of the Company’s Second Amended and Restated Certificate of Incorporation, the Company has authorized 500,000,000 shares of common stock with a par value of $0.001.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As discussed above in Note 2, on March 8, 2023, NRx Pharmaceuticals entered into a securities purchase agreement with the March Investors, providing for the issuance and sale of 3,866,666 shares of Common Stock and the March Investor Warrants to purchase up to 3,866,666 shares of Common Stock in a registered direct offering priced at-the-market under Nasdaq rules for a purchase price of $0.75 per share. </w:t>
      </w:r>
      <w:r>
        <w:rPr>
          <w:rFonts w:ascii="Times New Roman;Times;serif" w:hAnsi="Times New Roman;Times;serif"/>
          <w:sz w:val="20"/>
        </w:rPr>
        <w:t>The March Investor Warrants have an exercise price of $0.75 per share, are exercisable beginning on September 8, 2023 and will expire 5 years from the March Initial Exercise Date. </w:t>
      </w:r>
      <w:r>
        <w:rPr>
          <w:rFonts w:ascii="Times New Roman;Times;serif" w:hAnsi="Times New Roman;Times;serif"/>
          <w:sz w:val="20"/>
          <w:shd w:fill="FFFFFF" w:val="clear"/>
        </w:rPr>
        <w:t xml:space="preserve">The March Investors agreed not to transfer the Common Stock for six months following the date of issuance. The aggregate gross proceeds to the Company from the March Offering were approximately $2.9 million. </w:t>
      </w:r>
      <w:r>
        <w:rPr>
          <w:rFonts w:ascii="Times New Roman;Times;serif" w:hAnsi="Times New Roman;Times;serif"/>
          <w:sz w:val="20"/>
        </w:rPr>
        <w:t xml:space="preserve">The Company intends to use the net proceeds from such offering for working capital and general corporate purposes. The closing of the sale of these securities occurred on March 9, 2023. </w:t>
      </w:r>
      <w:r>
        <w:rPr>
          <w:rFonts w:ascii="Times New Roman;Times;serif" w:hAnsi="Times New Roman;Times;serif"/>
          <w:sz w:val="20"/>
          <w:shd w:fill="FFFFFF" w:val="clear"/>
        </w:rPr>
        <w:t xml:space="preserve">The securities were issued pursuant to the Company’s registration statement on Form S-3 filed with the SEC on June 9, 2022 (File No. 333-265492) which became effective on June 21, 2022. </w:t>
      </w:r>
    </w:p>
    <w:p>
      <w:pPr>
        <w:pStyle w:val="TextBody"/>
        <w:bidi w:val="0"/>
        <w:spacing w:before="0" w:after="0"/>
        <w:ind w:left="0" w:right="0" w:hanging="0"/>
        <w:jc w:val="both"/>
        <w:rPr>
          <w:shd w:fill="FFFFFF" w:val="clear"/>
        </w:rPr>
      </w:pPr>
      <w:r>
        <w:rPr>
          <w:shd w:fill="FFFFFF" w:val="clea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8, 2023, the Company entered into a letter agreement with H.C. Wainwright &amp; Co., LLC. Although they did not act as the placement agent with respect to the March Offering, H.C. Wainwright &amp; Co., LLC was paid a cash fee equal to 3.0% of the amount raised, or approximately $0.1 million, pursuant to the letter agreement.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6, 2023, the Company entered into a securities purchase agreement with the June Investors, providing for the issuance and sale of 9,670,002 shares of the Company’s Common Stock and the June Investor Warrants to purchase up to 9,670,002 shares of Common Stock. The Common Stock was issued in a registered direct offering for a purchase price of $0.65 per share and the June Investor Warrants were offered pursuant to a private placement under Section 4(a)(2) of the Securities Act. The aggregate net cash proceeds to the Company from the June Offering were approximately $5.71 million. The Company intends to use the net proceeds from the June Offering for the for working capital and general corporate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H.C. Wainwright &amp; Co. LLC acted as the exclusive placement agent (the “Placement Agent”) for the June 2023 Offering. The Placement Agent was paid a cash fee equal to 6.5% of the gross proceeds received by the Company from the sale of the securities at the closing of the June Offering or approximately $0.6 million. The Company intends to use the net proceeds from such offering for working capital and general corporate purposes.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shd w:fill="FFFFFF" w:val="clear"/>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Company’s Second Amended and Restated Certificate of Incorporation, the Company has authorized 50,000,000 shares of preferred stock with a par value of $0.001. The Company has no shares of preferred stock outstanding.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Warrants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Substitute Warrants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Merger, each warrant to purchase shares of common stock of NeuroRx that was outstanding and unexercised immediately prior to the Effective Time (whether vested or unvested) was assumed by BRPA and converted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into a warrant, based on the Exchange Ratio (of 3.16), that will continue to be governed by substantially the same terms and conditions, including vesting, as were applicable to the former warrant (the “Substitute Warrants”). As these Substitute Warrants meet the definition of a derivative as contemplated in ASC 815, the Substitute Warrants were recorded as derivative liabilities on the balance sheet and measured at fair value at inception (on the date of the Merger) and at each reporting date in accordance with ASC 820, </w:t>
      </w:r>
      <w:r>
        <w:rPr>
          <w:rFonts w:ascii="Times New Roman;Times;serif" w:hAnsi="Times New Roman;Times;serif"/>
          <w:i/>
          <w:sz w:val="20"/>
        </w:rPr>
        <w:t>Fair Value Measurement</w:t>
      </w:r>
      <w:r>
        <w:rPr>
          <w:rFonts w:ascii="Times New Roman;Times;serif" w:hAnsi="Times New Roman;Times;serif"/>
          <w:sz w:val="20"/>
        </w:rPr>
        <w:t>, with changes in fair value recognized in the statements of operations in the period of change.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a loss and a gain on the change in fair value of the Substitute Warrants for the three months ended June 30, 2023 and 2022 of less than $0.1 million and $0.1 million, respectively. The Company recognized a gain on the change in fair value of the Substitute Warrants for the six months ended June 30, 2023 of less than $0.1 million and $0.2 million, respectively. Refer to Note 11 for further discussion of fair value measurement of the warrant liabilities.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Assumed Public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Prior to the Merger, the Company had 3,450,000 Public Warrants outstanding (the “Public Warrants”). Each Public Warrant entitles the holder to purchase one share of Common Stock at an exercise price of $11.50 per share. The Public Warrants became exercisable at the Effective Time of the Merger and expire five years after the Effective Time or earlier upon their redemption or liquidation of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2023 and 2022 no Public Warrants were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Assumed Private Placement Warrants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Prior to the Merger, the Company had outstanding 136,250 Private Placement Warrants (the “Private Placement Warrants”). The Private Placement Warrants are not indexed to the Company’s common shares in the manner contemplated by ASC 815-40-15 because the holder of the instrument is not an input into the pricing of a fixed-for-fixed option on equity shares. The Company classifies the Private Placement Warrants as derivative liabilities in its Unaudited Condensed Consolidated Balance Sheet as of June 30, 2023. The Company measures the fair value of the Private Placement Warrants at the end of each reporting period and recognizes changes in the fair value from the prior period in the Company’s statements of operations for the current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 loss and a gain on the change in fair value of the Private Placement Warrants for the three months ended June 30, 2023 and 2022 of less than $0.1 million and $0.1 million, respectively. The Company recognized a loss and a gain on the change in fair value of the Private Placement Warrants for the six months ended June 30, 2023 and 2022 of less than $0.1 million and $0.1 million, respectively. Refer to Note 11 for discussion of the fair value measurement of the Company’s warrant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 Warrants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discussed above, on March 8, 2023, in conjunction with the </w:t>
      </w:r>
      <w:r>
        <w:rPr>
          <w:rFonts w:ascii="Times New Roman;Times;serif" w:hAnsi="Times New Roman;Times;serif"/>
          <w:sz w:val="20"/>
          <w:shd w:fill="FFFFFF" w:val="clear"/>
        </w:rPr>
        <w:t xml:space="preserve">issuance and sale of 3,866,666 shares of the Company’s Common Stock, </w:t>
      </w:r>
      <w:r>
        <w:rPr>
          <w:rFonts w:ascii="Times New Roman;Times;serif" w:hAnsi="Times New Roman;Times;serif"/>
          <w:sz w:val="20"/>
        </w:rPr>
        <w:t xml:space="preserve">the Company issued 3,866,666 March Investor Warrants which were classified in stockholder’s equity. The measurement of fair value of the March Investor Warrants were determined utilizing a Black-Scholes model considering all relevant assumptions current at the date of issuance (i.e., share price of $0.72, exercise price of $0.75, term of five and a half years, volatility of 123.6%, risk-free rate of 4.34%, and expected dividend rate of 0%). </w:t>
      </w:r>
      <w:r>
        <w:rPr>
          <w:rFonts w:ascii="Times New Roman;Times;serif" w:hAnsi="Times New Roman;Times;serif"/>
          <w:sz w:val="20"/>
          <w:shd w:fill="FFFFFF" w:val="clear"/>
        </w:rPr>
        <w:t xml:space="preserve">The March Investor Warrants have an exercise price of $0.75 per share, are initially exercisable beginning six months following the March Initial Exercise Date and will expire five and a half years from the March Initial Exercise Date.  </w:t>
      </w:r>
      <w:r>
        <w:rPr>
          <w:rFonts w:ascii="Times New Roman;Times;serif" w:hAnsi="Times New Roman;Times;serif"/>
          <w:sz w:val="20"/>
        </w:rPr>
        <w:t>The grant date fair value of these March Investor Warrants was estimated to be $2.4 million on March 8, 2023 and is reflected within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682" w:name="Tc_R6hLwjctqEu4tmaPGdMjJw_9_9"/>
      <w:bookmarkStart w:id="683" w:name="Tc_PhauK8xCTkGDKQlr33kBoA_9_8"/>
      <w:bookmarkStart w:id="684" w:name="Tc_dqCAPWR8Gkay9T4R1ibRfA_9_5"/>
      <w:bookmarkStart w:id="685" w:name="Tc_kCE-EaFSt0aI-60C50DmNQ_9_0"/>
      <w:bookmarkStart w:id="686" w:name="Tc_eiqzqkf8MEKzeANDp6jT1A_8_9"/>
      <w:bookmarkStart w:id="687" w:name="Tc_8hXQLDNz0UGSGS9ZCJuCuw_8_0"/>
      <w:bookmarkStart w:id="688" w:name="Tc_nYSbYhcOZEqWpOLfNDKljg_7_9"/>
      <w:bookmarkStart w:id="689" w:name="Tc_lD418IDZd0qpapd4um8yGA_7_0"/>
      <w:bookmarkStart w:id="690" w:name="Tc_6QfOZKF_w0ChMn7DTcFY0Q_6_9"/>
      <w:bookmarkStart w:id="691" w:name="Tc_GcRCbfChL0uEbP0mq56Lgw_6_0"/>
      <w:bookmarkStart w:id="692" w:name="Tc_YXjiFaa2Z068lxqITsW9RQ_5_9"/>
      <w:bookmarkStart w:id="693" w:name="Tc_OSIH0FZY5EeEwS1-xLhQ-Q_5_5"/>
      <w:bookmarkStart w:id="694" w:name="Tc_qZ3boxfHqEqEKFiOT98Dmg_5_0"/>
      <w:bookmarkStart w:id="695" w:name="Tc_LB4NSbUYMEWVJ6woDKlO-w_4_8"/>
      <w:bookmarkStart w:id="696" w:name="Tc_7Oa9X9yrMEeFPK3e8Md5Tw_4_5"/>
      <w:bookmarkStart w:id="697" w:name="Tc_CeXi1bcBUUiRBovXT9sF9A_4_3"/>
      <w:bookmarkStart w:id="698" w:name="Tc_UvRBo7MH10euZt1f6Z4vaA_4_1"/>
      <w:bookmarkStart w:id="699" w:name="Tc_bqvNnfhf4EGY1fumBuxKYw_3_8"/>
      <w:bookmarkStart w:id="700" w:name="Tc_didSMourF0SErRHOMq2EVQ_3_5"/>
      <w:bookmarkStart w:id="701" w:name="Tc_ZZRVxn_Zs0-NP93sTVettg_3_3"/>
      <w:bookmarkStart w:id="702" w:name="Tc_eCI0jYCjB0m9NZg61dbDDg_2_8"/>
      <w:bookmarkStart w:id="703" w:name="Tc_dC_oYmKCG0iJ0O1gTu5_HQ_2_5"/>
      <w:bookmarkStart w:id="704" w:name="Tc_AK5kZf8XJ0ysStSW1mYHEw_2_3"/>
      <w:bookmarkStart w:id="705" w:name="Tc_Zb7DxFILdUqebPk-JM-kjA_1_3"/>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Times New Roman;Times;serif" w:hAnsi="Times New Roman;Times;serif"/>
          <w:sz w:val="20"/>
        </w:rPr>
        <w:t xml:space="preserve">As discussed above, on March 8, 2023, in conjunction with the </w:t>
      </w:r>
      <w:r>
        <w:rPr>
          <w:rFonts w:ascii="Times New Roman;Times;serif" w:hAnsi="Times New Roman;Times;serif"/>
          <w:sz w:val="20"/>
          <w:shd w:fill="FFFFFF" w:val="clear"/>
        </w:rPr>
        <w:t xml:space="preserve">issuance and sale of 3,866,666 shares of the Company’s Common Stock, </w:t>
      </w:r>
      <w:r>
        <w:rPr>
          <w:rFonts w:ascii="Times New Roman;Times;serif" w:hAnsi="Times New Roman;Times;serif"/>
          <w:sz w:val="20"/>
        </w:rPr>
        <w:t xml:space="preserve">the Company issued 3,866,666 March Investor Warrants which were classified in stockholder’s equity. The measurement of fair value of the March Investor Warrants were determined utilizing a Black-Scholes model considering all relevant assumptions current at the date of issuance (i.e., share price of $0.72, exercise price of $0.75, term of five and a half years, volatility of 123.6%, risk-free rate of 4.34%, and expected dividend rate of 0%). </w:t>
      </w:r>
      <w:r>
        <w:rPr>
          <w:rFonts w:ascii="Times New Roman;Times;serif" w:hAnsi="Times New Roman;Times;serif"/>
          <w:sz w:val="20"/>
          <w:shd w:fill="FFFFFF" w:val="clear"/>
        </w:rPr>
        <w:t xml:space="preserve">The March Investor Warrants have an exercise price of $0.75 per share, are initially exercisable beginning six months following the March Initial Exercise Date and will expire five years from the March Initial Exercise Date.  </w:t>
      </w:r>
      <w:r>
        <w:rPr>
          <w:rFonts w:ascii="Times New Roman;Times;serif" w:hAnsi="Times New Roman;Times;serif"/>
          <w:sz w:val="20"/>
        </w:rPr>
        <w:t>The grant date fair value of these March Investor Warrants was estimated to be $2.4 million on March 8, 2023 and is reflected within additional paid-in capital.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issued warrants to the Placement Agent with an exercise price of $0.81 (the “June Placement Agent Warrants”). As these June Placement Agent Warrants were issued for services provided in facilitating the June Offering, the Company recorded the fair value of such June Placement Agent Warrants of approximately $0.1 million as a cost of capital on the issuance date. The measurement of fair value was determined utilizing a Black-Scholes model considering all relevant assumptions current at the date of issuance (i.e., share price of $0.53, exercise price of $0.81, term of five and a half years, volatility of 175.1%, risk-free rate of 3.85%, and expected dividend rate of 0%).</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June Offering, the Company also entered into a warrant amendment agreement (the “Warrant Amendment Agreement”) with certain investors to amend certain existing warrants to purchase up to 9,622,778 shares of Common Stock that were previously issued in August 2021 and February 2022 to such investors, with an exercise price of $3.07 and $12.00 per share, respectively (the “Amended Warrants”) as follows: (i) lower the exercise price of the Amended Warrants to $0.6525 per share, and (ii) provide that the Amended Warrants, as amended, will not be exercisable until six months following the closing date of the June Offering, and (iii) extend the original expiration date of the Amended Warrants so that they will terminate five and one half years from the closing of the June Offering.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the incremental change in fair value of such Amended Warrants of $1.7 million as a cost of capital to issue the June Investor Warrants. The measurement of fair value for the Amended Warrants was determined utilizing a Black-Scholes model considering all relevant assumptions current at the date of issuance (i.e., share price of $0.53, exercise price of $0.65, term of five and a half years, volatility of 175.1%, risk-free rate of 3.85%, and expected dividend rate of 0%).</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the activity for all warrants for the respective periods.</w:t>
      </w:r>
    </w:p>
    <w:p>
      <w:pPr>
        <w:pStyle w:val="TextBody"/>
        <w:bidi w:val="0"/>
        <w:spacing w:before="0" w:after="0"/>
        <w:ind w:left="0" w:right="0" w:hanging="0"/>
        <w:jc w:val="left"/>
        <w:rPr/>
      </w:pPr>
      <w:r>
        <w:rPr/>
        <w:t>​</w:t>
      </w:r>
    </w:p>
    <w:tbl>
      <w:tblPr>
        <w:tblW w:w="8616" w:type="dxa"/>
        <w:jc w:val="left"/>
        <w:tblInd w:w="0" w:type="dxa"/>
        <w:tblLayout w:type="fixed"/>
        <w:tblCellMar>
          <w:top w:w="0" w:type="dxa"/>
          <w:left w:w="0" w:type="dxa"/>
          <w:bottom w:w="0" w:type="dxa"/>
          <w:right w:w="0" w:type="dxa"/>
        </w:tblCellMar>
      </w:tblPr>
      <w:tblGrid>
        <w:gridCol w:w="3166"/>
        <w:gridCol w:w="1246"/>
        <w:gridCol w:w="326"/>
        <w:gridCol w:w="886"/>
        <w:gridCol w:w="326"/>
        <w:gridCol w:w="350"/>
        <w:gridCol w:w="775"/>
        <w:gridCol w:w="326"/>
        <w:gridCol w:w="380"/>
        <w:gridCol w:w="835"/>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10410" cy="175260"/>
                      <wp:effectExtent l="0" t="0" r="0" b="0"/>
                      <wp:wrapNone/>
                      <wp:docPr id="107" name="Frame107"/>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91210" cy="175260"/>
                      <wp:effectExtent l="0" t="0" r="0" b="0"/>
                      <wp:wrapNone/>
                      <wp:docPr id="108" name="Frame10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62610" cy="175260"/>
                      <wp:effectExtent l="0" t="0" r="0" b="0"/>
                      <wp:wrapNone/>
                      <wp:docPr id="110" name="Frame1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2250" cy="175260"/>
                      <wp:effectExtent l="0" t="0" r="0" b="0"/>
                      <wp:wrapNone/>
                      <wp:docPr id="112" name="Frame11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2125" cy="175260"/>
                      <wp:effectExtent l="0" t="0" r="0" b="0"/>
                      <wp:wrapNone/>
                      <wp:docPr id="113" name="Frame113"/>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1300" cy="175260"/>
                      <wp:effectExtent l="0" t="0" r="0" b="0"/>
                      <wp:wrapNone/>
                      <wp:docPr id="115" name="Frame115"/>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0225" cy="175260"/>
                      <wp:effectExtent l="0" t="0" r="0" b="0"/>
                      <wp:wrapNone/>
                      <wp:docPr id="116" name="Frame11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350" w:type="dxa"/>
            <w:tcBorders/>
            <w:vAlign w:val="center"/>
          </w:tcPr>
          <w:p>
            <w:pPr>
              <w:pStyle w:val="TableContents"/>
              <w:bidi w:val="0"/>
              <w:spacing w:before="0" w:after="0"/>
              <w:ind w:left="0" w:right="0" w:hanging="0"/>
              <w:jc w:val="center"/>
              <w:rPr/>
            </w:pPr>
            <w:r>
              <w:rPr/>
              <w:t>​</w:t>
            </w:r>
          </w:p>
        </w:tc>
        <w:tc>
          <w:tcPr>
            <w:tcW w:w="7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16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Warrants</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16,484,923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3,866,666</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2023</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20,351,589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9,670,002</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2023</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30,021,591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10. Stock-Based Compensation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2016 Omnibus Incentive Plan</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Exchange Ratio (of 3.16).</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closing of the Merger, the outstanding and unexercised NeuroRx stock options became options to purchase an aggregate 2,895,423 shares of the Company’s Common Stock at an average exercise price of $5.10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Omnibus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2023, 6,713,608 shares of Common Stock are authorized for issuance pursuant to awards under the Company’s 2021 Omnibus Incentive Plan (the “2021 Plan”). As of January 1, 2023, 664,430 shares were added to the 2021 Plan under </w:t>
      </w:r>
      <w:r>
        <w:rPr>
          <w:rFonts w:ascii="Times New Roman;Times;serif" w:hAnsi="Times New Roman;Times;serif"/>
          <w:color w:val="231F20"/>
          <w:sz w:val="20"/>
        </w:rPr>
        <w:t xml:space="preserve">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Times New Roman;Times;serif" w:hAnsi="Times New Roman;Times;serif"/>
          <w:sz w:val="20"/>
        </w:rPr>
        <w:t>As of June 30, 2023, 5,749,394 shares have been awarded and 964,214 shares remain available for issuance under the 2021 Plan. The 2021 Plan permits the granting of incentive stock options, restricted stock awards, other stock-based award or other cash-based awards to employees, directors, and non-employee consultants.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grant date fair value of employee and non-employee stock option awards is determined using the Black Scholes option-pricing model. The Company did not grant any stock options during the three or six 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bookmarkStart w:id="706" w:name="Tc_-N4OQK0Nk0mrC0PBkYItog_6_11"/>
      <w:bookmarkStart w:id="707" w:name="Tc_u2lU7vXJ5UCEsYbyBcgBGQ_6_8"/>
      <w:bookmarkStart w:id="708" w:name="Tc_lkEs9-Vp5kGeha_ubZUWig_6_5"/>
      <w:bookmarkStart w:id="709" w:name="Tc_pgji7yFY4USb06VbBx10Sg_6_2"/>
      <w:bookmarkStart w:id="710" w:name="Tc_dZ_k3kc2PEG58bM5JqO8Xg_6_0"/>
      <w:bookmarkStart w:id="711" w:name="Tc_OwrTicLMzE-AZsKFbsWooA_5_0"/>
      <w:bookmarkStart w:id="712" w:name="Tc_cl_kLCaVN0yMEhByMApFLg_4_11"/>
      <w:bookmarkStart w:id="713" w:name="Tc_ujdkBvH2aUiK7Y_i1yiCZQ_4_8"/>
      <w:bookmarkStart w:id="714" w:name="Tc_YTHpV100AUu3mEIZarcCWw_4_5"/>
      <w:bookmarkStart w:id="715" w:name="Tc_iJsnNPn5BE-UCDYRD9KTgg_4_2"/>
      <w:bookmarkStart w:id="716" w:name="Tc_5_N96MUkJkmn0WKh8ad4ow_4_0"/>
      <w:bookmarkStart w:id="717" w:name="Tc_At3qp3BrNEWWYXT1lMntqA_3_0"/>
      <w:bookmarkStart w:id="718" w:name="Tc_onp9tYpf-0KcwSk8HzUr9A_2_11"/>
      <w:bookmarkStart w:id="719" w:name="Tc_pxBqyHkIRkea2zZ0Hhokcw_2_8"/>
      <w:bookmarkStart w:id="720" w:name="Tc_pqDQCNST3UakdRKkGBGggg_2_5"/>
      <w:bookmarkStart w:id="721" w:name="Tc_dUeGDlP_0UaXVFvjNDhN-w_2_2"/>
      <w:bookmarkStart w:id="722" w:name="Tc_HSPvcGxzrESNfQgkdf97Eg_1_8"/>
      <w:bookmarkStart w:id="723" w:name="Tc_-DO7EfFtIEiM0a7OyHB76Q_1_2"/>
      <w:bookmarkStart w:id="724" w:name="_77a4b2e9_bbd3_4af1_9ee2_a9eb4ae4a891"/>
      <w:bookmarkStart w:id="725" w:name="Tc_kkejH11Wr0q1FREIBwl6GQ_5_0"/>
      <w:bookmarkStart w:id="726" w:name="Tc_YpFiFRcwPkKY1QLkIFPaOw_4_0"/>
      <w:bookmarkStart w:id="727" w:name="Tc_M2O_IXag-UaA0GPHEbD89Q_3_0"/>
      <w:bookmarkStart w:id="728" w:name="Tc_Oy6fQLw9MkmVH6GmH9ETAw_2_0"/>
      <w:bookmarkStart w:id="729" w:name="Tc_NxlNW5fjS0azqOY2qTRVlg_1_8"/>
      <w:bookmarkStart w:id="730" w:name="Tc_Ll70X2rOZk25SEPn7KRx6A_1_6"/>
      <w:bookmarkStart w:id="731" w:name="Tc_7biv2-5eR0qDa86MwbVisQ_1_4"/>
      <w:bookmarkStart w:id="732" w:name="Tc_9NME_B0xuUSSfM57Y6nE0w_1_2"/>
      <w:bookmarkStart w:id="733" w:name="Tc_i7hrHhz0dECfrlg7NKNdhg_7_3"/>
      <w:bookmarkStart w:id="734" w:name="Tc_CrNa55NfWkit8FMGpUzqOw_7_0"/>
      <w:bookmarkStart w:id="735" w:name="Tc_zPsfhRi4REesBES4njyXZA_6_3"/>
      <w:bookmarkStart w:id="736" w:name="Tc_jnwpVk7w5ke_ZnMDl9cyYQ_6_0"/>
      <w:bookmarkStart w:id="737" w:name="Tc_9JpFF62YW0aPjaKsoEujLg_5_3"/>
      <w:bookmarkStart w:id="738" w:name="Tc_mjXZr0nMLEqqZxZ4sqAlOA_5_0"/>
      <w:bookmarkStart w:id="739" w:name="Tc_HtrjaUGoa0GpJcerW-zDjQ_4_3"/>
      <w:bookmarkStart w:id="740" w:name="Tc_QfKUjLu_lUayvebHxLJOCA_4_0"/>
      <w:bookmarkStart w:id="741" w:name="Tc_EbDpKvOUXUCSQyHckwktUQ_3_3"/>
      <w:bookmarkStart w:id="742" w:name="Tc_FF9VKb-TcE6qpXAtcPOvxw_3_0"/>
      <w:bookmarkStart w:id="743" w:name="Tc_QRs3X1TNxkaW8r9ZV06Q0A_1_2"/>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Times New Roman;Times;serif" w:hAnsi="Times New Roman;Times;serif"/>
          <w:sz w:val="20"/>
        </w:rPr>
        <w:t>The following assumptions were used for the year ended December 31, 2022:</w:t>
      </w:r>
    </w:p>
    <w:p>
      <w:pPr>
        <w:pStyle w:val="TextBody"/>
        <w:bidi w:val="0"/>
        <w:spacing w:before="0" w:after="0"/>
        <w:ind w:left="0" w:right="0" w:hanging="0"/>
        <w:jc w:val="left"/>
        <w:rPr/>
      </w:pPr>
      <w:r>
        <w:rPr/>
        <w:t>​</w:t>
      </w:r>
    </w:p>
    <w:tbl>
      <w:tblPr>
        <w:tblW w:w="4497" w:type="dxa"/>
        <w:jc w:val="left"/>
        <w:tblInd w:w="0" w:type="dxa"/>
        <w:tblLayout w:type="fixed"/>
        <w:tblCellMar>
          <w:top w:w="0" w:type="dxa"/>
          <w:left w:w="0" w:type="dxa"/>
          <w:bottom w:w="0" w:type="dxa"/>
          <w:right w:w="0" w:type="dxa"/>
        </w:tblCellMar>
      </w:tblPr>
      <w:tblGrid>
        <w:gridCol w:w="2626"/>
        <w:gridCol w:w="326"/>
        <w:gridCol w:w="149"/>
        <w:gridCol w:w="1396"/>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4615" cy="175260"/>
                      <wp:effectExtent l="0" t="0" r="0" b="0"/>
                      <wp:wrapNone/>
                      <wp:docPr id="118" name="Frame118"/>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86460" cy="175260"/>
                      <wp:effectExtent l="0" t="0" r="0" b="0"/>
                      <wp:wrapNone/>
                      <wp:docPr id="119" name="Frame11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9"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 </w:t>
            </w:r>
          </w:p>
        </w:tc>
        <w:tc>
          <w:tcPr>
            <w:tcW w:w="149" w:type="dxa"/>
            <w:tcBorders/>
            <w:shd w:fill="CCEEFF" w:val="clear"/>
            <w:vAlign w:val="center"/>
          </w:tcPr>
          <w:p>
            <w:pPr>
              <w:pStyle w:val="TableContents"/>
              <w:bidi w:val="0"/>
              <w:spacing w:before="0" w:after="1"/>
              <w:ind w:left="0" w:right="0" w:hanging="0"/>
              <w:jc w:val="center"/>
              <w:rPr/>
            </w:pPr>
            <w:r>
              <w:rPr/>
              <w:t>​</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$0.51-$3.10</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left"/>
              <w:rPr/>
            </w:pPr>
            <w:r>
              <w:rPr/>
              <w:t> </w:t>
            </w:r>
          </w:p>
        </w:tc>
        <w:tc>
          <w:tcPr>
            <w:tcW w:w="149" w:type="dxa"/>
            <w:tcBorders/>
            <w:vAlign w:val="center"/>
          </w:tcPr>
          <w:p>
            <w:pPr>
              <w:pStyle w:val="TableContents"/>
              <w:bidi w:val="0"/>
              <w:spacing w:before="0" w:after="1"/>
              <w:ind w:left="0" w:right="0" w:hanging="0"/>
              <w:jc w:val="center"/>
              <w:rPr/>
            </w:pPr>
            <w:r>
              <w:rPr/>
              <w:t> </w:t>
            </w:r>
          </w:p>
        </w:tc>
        <w:tc>
          <w:tcPr>
            <w:tcW w:w="13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1.8%-4.36%</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 </w:t>
            </w:r>
          </w:p>
        </w:tc>
        <w:tc>
          <w:tcPr>
            <w:tcW w:w="149" w:type="dxa"/>
            <w:tcBorders/>
            <w:shd w:fill="CCEEFF" w:val="clear"/>
            <w:vAlign w:val="center"/>
          </w:tcPr>
          <w:p>
            <w:pPr>
              <w:pStyle w:val="TableContents"/>
              <w:bidi w:val="0"/>
              <w:spacing w:before="0" w:after="1"/>
              <w:ind w:left="0" w:right="0" w:hanging="0"/>
              <w:jc w:val="center"/>
              <w:rPr/>
            </w:pPr>
            <w:r>
              <w:rP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5.3-6.5</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vAlign w:val="center"/>
          </w:tcPr>
          <w:p>
            <w:pPr>
              <w:pStyle w:val="TableContents"/>
              <w:bidi w:val="0"/>
              <w:spacing w:before="0" w:after="1"/>
              <w:ind w:left="0" w:right="0" w:hanging="0"/>
              <w:jc w:val="left"/>
              <w:rPr/>
            </w:pPr>
            <w:r>
              <w:rPr/>
              <w:t> </w:t>
            </w:r>
          </w:p>
        </w:tc>
        <w:tc>
          <w:tcPr>
            <w:tcW w:w="149" w:type="dxa"/>
            <w:tcBorders/>
            <w:vAlign w:val="center"/>
          </w:tcPr>
          <w:p>
            <w:pPr>
              <w:pStyle w:val="TableContents"/>
              <w:bidi w:val="0"/>
              <w:spacing w:before="0" w:after="1"/>
              <w:ind w:left="0" w:right="0" w:hanging="0"/>
              <w:jc w:val="center"/>
              <w:rPr/>
            </w:pPr>
            <w:r>
              <w:rPr/>
              <w:t> </w:t>
            </w:r>
          </w:p>
        </w:tc>
        <w:tc>
          <w:tcPr>
            <w:tcW w:w="13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94.9%-147.8%</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 </w:t>
            </w:r>
          </w:p>
        </w:tc>
        <w:tc>
          <w:tcPr>
            <w:tcW w:w="149" w:type="dxa"/>
            <w:tcBorders/>
            <w:shd w:fill="CCEEFF" w:val="clear"/>
            <w:vAlign w:val="center"/>
          </w:tcPr>
          <w:p>
            <w:pPr>
              <w:pStyle w:val="TableContents"/>
              <w:bidi w:val="0"/>
              <w:spacing w:before="0" w:after="1"/>
              <w:ind w:left="0" w:right="0" w:hanging="0"/>
              <w:jc w:val="center"/>
              <w:rPr/>
            </w:pPr>
            <w:r>
              <w:rPr/>
              <w:t> </w:t>
            </w:r>
          </w:p>
        </w:tc>
        <w:tc>
          <w:tcPr>
            <w:tcW w:w="1396"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employee and non-employee stock option activity under the Plan for the following periods: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94"/>
        <w:gridCol w:w="109"/>
        <w:gridCol w:w="1220"/>
        <w:gridCol w:w="109"/>
        <w:gridCol w:w="1238"/>
        <w:gridCol w:w="109"/>
        <w:gridCol w:w="2693"/>
        <w:gridCol w:w="109"/>
        <w:gridCol w:w="2124"/>
      </w:tblGrid>
      <w:tr>
        <w:trPr/>
        <w:tc>
          <w:tcPr>
            <w:tcW w:w="2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83690" cy="175260"/>
                      <wp:effectExtent l="0" t="0" r="0" b="0"/>
                      <wp:wrapNone/>
                      <wp:docPr id="120" name="Frame120"/>
                      <a:graphic xmlns:a="http://schemas.openxmlformats.org/drawingml/2006/main">
                        <a:graphicData uri="http://schemas.microsoft.com/office/word/2010/wordprocessingShape">
                          <wps:wsp>
                            <wps:cNvSpPr txBox="1"/>
                            <wps:spPr>
                              <a:xfrm>
                                <a:off x="0" y="0"/>
                                <a:ext cx="158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74700" cy="175260"/>
                      <wp:effectExtent l="0" t="0" r="0" b="0"/>
                      <wp:wrapNone/>
                      <wp:docPr id="122" name="Frame122"/>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86130" cy="175260"/>
                      <wp:effectExtent l="0" t="0" r="0" b="0"/>
                      <wp:wrapNone/>
                      <wp:docPr id="124" name="Frame124"/>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10055" cy="175260"/>
                      <wp:effectExtent l="0" t="0" r="0" b="0"/>
                      <wp:wrapNone/>
                      <wp:docPr id="126" name="Frame126"/>
                      <a:graphic xmlns:a="http://schemas.openxmlformats.org/drawingml/2006/main">
                        <a:graphicData uri="http://schemas.microsoft.com/office/word/2010/wordprocessingShape">
                          <wps:wsp>
                            <wps:cNvSpPr txBox="1"/>
                            <wps:spPr>
                              <a:xfrm>
                                <a:off x="0" y="0"/>
                                <a:ext cx="171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48740" cy="175260"/>
                      <wp:effectExtent l="0" t="0" r="0" b="0"/>
                      <wp:wrapNone/>
                      <wp:docPr id="128" name="Frame128"/>
                      <a:graphic xmlns:a="http://schemas.openxmlformats.org/drawingml/2006/main">
                        <a:graphicData uri="http://schemas.microsoft.com/office/word/2010/wordprocessingShape">
                          <wps:wsp>
                            <wps:cNvSpPr txBox="1"/>
                            <wps:spPr>
                              <a:xfrm>
                                <a:off x="0" y="0"/>
                                <a:ext cx="134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4"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220"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shares</w:t>
            </w:r>
          </w:p>
        </w:tc>
        <w:tc>
          <w:tcPr>
            <w:tcW w:w="109" w:type="dxa"/>
            <w:tcBorders/>
            <w:shd w:fill="FFFFFF" w:val="clear"/>
            <w:vAlign w:val="center"/>
          </w:tcPr>
          <w:p>
            <w:pPr>
              <w:pStyle w:val="TableContents"/>
              <w:bidi w:val="0"/>
              <w:spacing w:before="0" w:after="1"/>
              <w:ind w:left="0" w:right="0" w:hanging="0"/>
              <w:jc w:val="center"/>
              <w:rPr/>
            </w:pPr>
            <w:r>
              <w:rPr/>
              <w:t>​</w:t>
            </w:r>
          </w:p>
        </w:tc>
        <w:tc>
          <w:tcPr>
            <w:tcW w:w="1238"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w:t>
              <w:br/>
              <w:t>exercise price</w:t>
            </w:r>
          </w:p>
        </w:tc>
        <w:tc>
          <w:tcPr>
            <w:tcW w:w="109" w:type="dxa"/>
            <w:tcBorders/>
            <w:shd w:fill="FFFFFF" w:val="clear"/>
            <w:vAlign w:val="center"/>
          </w:tcPr>
          <w:p>
            <w:pPr>
              <w:pStyle w:val="TableContents"/>
              <w:bidi w:val="0"/>
              <w:spacing w:before="0" w:after="1"/>
              <w:ind w:left="0" w:right="0" w:hanging="0"/>
              <w:jc w:val="center"/>
              <w:rPr/>
            </w:pPr>
            <w:r>
              <w:rPr/>
              <w:t>​</w:t>
            </w:r>
          </w:p>
        </w:tc>
        <w:tc>
          <w:tcPr>
            <w:tcW w:w="2693"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 remaining contractual life (in years)</w:t>
            </w:r>
          </w:p>
        </w:tc>
        <w:tc>
          <w:tcPr>
            <w:tcW w:w="109" w:type="dxa"/>
            <w:tcBorders/>
            <w:shd w:fill="FFFFFF" w:val="clear"/>
            <w:vAlign w:val="center"/>
          </w:tcPr>
          <w:p>
            <w:pPr>
              <w:pStyle w:val="TableContents"/>
              <w:bidi w:val="0"/>
              <w:spacing w:before="0" w:after="1"/>
              <w:ind w:left="0" w:right="0" w:hanging="0"/>
              <w:jc w:val="center"/>
              <w:rPr/>
            </w:pPr>
            <w:r>
              <w:rPr/>
              <w:t>​</w:t>
            </w:r>
          </w:p>
        </w:tc>
        <w:tc>
          <w:tcPr>
            <w:tcW w:w="2124"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Aggregate intrinsic value (in thousands)</w:t>
            </w:r>
          </w:p>
        </w:tc>
      </w:tr>
      <w:tr>
        <w:trPr/>
        <w:tc>
          <w:tcPr>
            <w:tcW w:w="2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12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shd w:fill="CCEEFF" w:val="clear"/>
            <w:vAlign w:val="center"/>
          </w:tcPr>
          <w:p>
            <w:pPr>
              <w:pStyle w:val="TableContents"/>
              <w:bidi w:val="0"/>
              <w:spacing w:before="0" w:after="1"/>
              <w:ind w:left="0" w:right="0" w:hanging="0"/>
              <w:jc w:val="lef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$ 3.32</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6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21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$ 618</w:t>
            </w:r>
          </w:p>
        </w:tc>
      </w:tr>
      <w:tr>
        <w:trPr/>
        <w:tc>
          <w:tcPr>
            <w:tcW w:w="24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2023</w:t>
            </w:r>
          </w:p>
        </w:tc>
        <w:tc>
          <w:tcPr>
            <w:tcW w:w="109" w:type="dxa"/>
            <w:tcBorders/>
            <w:vAlign w:val="center"/>
          </w:tcPr>
          <w:p>
            <w:pPr>
              <w:pStyle w:val="TableContents"/>
              <w:bidi w:val="0"/>
              <w:spacing w:before="0" w:after="1"/>
              <w:ind w:left="0" w:right="0" w:hanging="0"/>
              <w:jc w:val="left"/>
              <w:rPr/>
            </w:pPr>
            <w:r>
              <w:rPr/>
              <w:t>​</w:t>
            </w:r>
          </w:p>
        </w:tc>
        <w:tc>
          <w:tcPr>
            <w:tcW w:w="12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vAlign w:val="center"/>
          </w:tcPr>
          <w:p>
            <w:pPr>
              <w:pStyle w:val="TableContents"/>
              <w:bidi w:val="0"/>
              <w:spacing w:before="0" w:after="1"/>
              <w:ind w:left="0" w:right="0" w:hanging="0"/>
              <w:jc w:val="left"/>
              <w:rPr/>
            </w:pPr>
            <w:r>
              <w:rPr/>
              <w:t>​</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$ 3.32</w:t>
            </w:r>
          </w:p>
        </w:tc>
        <w:tc>
          <w:tcPr>
            <w:tcW w:w="109" w:type="dxa"/>
            <w:tcBorders/>
            <w:vAlign w:val="center"/>
          </w:tcPr>
          <w:p>
            <w:pPr>
              <w:pStyle w:val="TableContents"/>
              <w:bidi w:val="0"/>
              <w:spacing w:before="0" w:after="1"/>
              <w:ind w:left="0" w:right="0" w:hanging="0"/>
              <w:jc w:val="left"/>
              <w:rPr>
                <w:color w:val="FF0000"/>
              </w:rPr>
            </w:pPr>
            <w:r>
              <w:rPr>
                <w:color w:val="FF0000"/>
              </w:rPr>
              <w:t>​</w:t>
            </w:r>
          </w:p>
        </w:tc>
        <w:tc>
          <w:tcPr>
            <w:tcW w:w="2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before="0" w:after="1"/>
              <w:ind w:left="0" w:right="0" w:hanging="0"/>
              <w:jc w:val="left"/>
              <w:rPr/>
            </w:pPr>
            <w:r>
              <w:rPr/>
              <w:t>​</w:t>
            </w:r>
          </w:p>
        </w:tc>
        <w:tc>
          <w:tcPr>
            <w:tcW w:w="21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$ 124</w:t>
            </w:r>
          </w:p>
        </w:tc>
      </w:tr>
      <w:tr>
        <w:trPr/>
        <w:tc>
          <w:tcPr>
            <w:tcW w:w="24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2023</w:t>
            </w:r>
          </w:p>
        </w:tc>
        <w:tc>
          <w:tcPr>
            <w:tcW w:w="109" w:type="dxa"/>
            <w:tcBorders/>
            <w:shd w:fill="CCEEFF" w:val="clear"/>
            <w:vAlign w:val="center"/>
          </w:tcPr>
          <w:p>
            <w:pPr>
              <w:pStyle w:val="TableContents"/>
              <w:bidi w:val="0"/>
              <w:spacing w:before="0" w:after="1"/>
              <w:ind w:left="0" w:right="0" w:hanging="0"/>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2,548,849</w:t>
            </w:r>
          </w:p>
        </w:tc>
        <w:tc>
          <w:tcPr>
            <w:tcW w:w="109" w:type="dxa"/>
            <w:tcBorders/>
            <w:shd w:fill="CCEEFF" w:val="clear"/>
            <w:vAlign w:val="center"/>
          </w:tcPr>
          <w:p>
            <w:pPr>
              <w:pStyle w:val="TableContents"/>
              <w:bidi w:val="0"/>
              <w:spacing w:before="0" w:after="1"/>
              <w:ind w:left="0" w:right="0" w:hanging="0"/>
              <w:jc w:val="left"/>
              <w:rPr/>
            </w:pPr>
            <w:r>
              <w:rPr/>
              <w:t>​</w:t>
            </w:r>
          </w:p>
        </w:tc>
        <w:tc>
          <w:tcPr>
            <w:tcW w:w="1238"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$ 3.32</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693"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1"/>
              <w:ind w:left="0" w:right="0" w:hanging="0"/>
              <w:jc w:val="left"/>
              <w:rPr/>
            </w:pPr>
            <w:r>
              <w:rPr/>
              <w:t>​</w:t>
            </w:r>
          </w:p>
        </w:tc>
        <w:tc>
          <w:tcPr>
            <w:tcW w:w="2124" w:type="dxa"/>
            <w:tcBorders>
              <w:bottom w:val="single" w:sz="1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$ 46</w:t>
            </w:r>
          </w:p>
        </w:tc>
      </w:tr>
      <w:tr>
        <w:trPr/>
        <w:tc>
          <w:tcPr>
            <w:tcW w:w="24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 as of June 30, 2023</w:t>
            </w:r>
          </w:p>
        </w:tc>
        <w:tc>
          <w:tcPr>
            <w:tcW w:w="109" w:type="dxa"/>
            <w:tcBorders/>
            <w:vAlign w:val="center"/>
          </w:tcPr>
          <w:p>
            <w:pPr>
              <w:pStyle w:val="TableContents"/>
              <w:bidi w:val="0"/>
              <w:spacing w:before="0" w:after="1"/>
              <w:ind w:left="0" w:right="0" w:hanging="0"/>
              <w:jc w:val="left"/>
              <w:rPr/>
            </w:pPr>
            <w:r>
              <w:rPr/>
              <w:t>​</w:t>
            </w:r>
          </w:p>
        </w:tc>
        <w:tc>
          <w:tcPr>
            <w:tcW w:w="122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1,956,237</w:t>
            </w:r>
          </w:p>
        </w:tc>
        <w:tc>
          <w:tcPr>
            <w:tcW w:w="109" w:type="dxa"/>
            <w:tcBorders/>
            <w:vAlign w:val="center"/>
          </w:tcPr>
          <w:p>
            <w:pPr>
              <w:pStyle w:val="TableContents"/>
              <w:bidi w:val="0"/>
              <w:spacing w:before="0" w:after="1"/>
              <w:ind w:left="0" w:right="0" w:hanging="0"/>
              <w:jc w:val="left"/>
              <w:rPr/>
            </w:pPr>
            <w:r>
              <w:rPr/>
              <w:t>​</w:t>
            </w:r>
          </w:p>
        </w:tc>
        <w:tc>
          <w:tcPr>
            <w:tcW w:w="1238"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$ 3.71</w:t>
            </w:r>
          </w:p>
        </w:tc>
        <w:tc>
          <w:tcPr>
            <w:tcW w:w="109" w:type="dxa"/>
            <w:tcBorders/>
            <w:vAlign w:val="center"/>
          </w:tcPr>
          <w:p>
            <w:pPr>
              <w:pStyle w:val="TableContents"/>
              <w:bidi w:val="0"/>
              <w:spacing w:before="0" w:after="1"/>
              <w:ind w:left="0" w:right="0" w:hanging="0"/>
              <w:jc w:val="left"/>
              <w:rPr/>
            </w:pPr>
            <w:r>
              <w:rPr/>
              <w:t>​</w:t>
            </w:r>
          </w:p>
        </w:tc>
        <w:tc>
          <w:tcPr>
            <w:tcW w:w="2693"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vAlign w:val="center"/>
          </w:tcPr>
          <w:p>
            <w:pPr>
              <w:pStyle w:val="TableContents"/>
              <w:bidi w:val="0"/>
              <w:spacing w:before="0" w:after="1"/>
              <w:ind w:left="0" w:right="0" w:hanging="0"/>
              <w:jc w:val="left"/>
              <w:rPr/>
            </w:pPr>
            <w:r>
              <w:rPr/>
              <w:t>​</w:t>
            </w:r>
          </w:p>
        </w:tc>
        <w:tc>
          <w:tcPr>
            <w:tcW w:w="2124" w:type="dxa"/>
            <w:tcBorders>
              <w:bottom w:val="single" w:sz="12"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$ 46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per share for employee stock and non-employee option grants during the three and six months ended June 30, 2022 was $0.16 and $1.55, respectively. At June 30, 2023, the total unrecognized compensation related to unvested employee and non-employee stock option awards granted, was $1.1 million, which the Company expects to recognize over a weighted-average period of approximately 0.9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recognition of stock-based compensation for the following periods (in thousands):</w:t>
      </w:r>
    </w:p>
    <w:tbl>
      <w:tblPr>
        <w:tblW w:w="8432" w:type="dxa"/>
        <w:jc w:val="left"/>
        <w:tblInd w:w="0" w:type="dxa"/>
        <w:tblLayout w:type="fixed"/>
        <w:tblCellMar>
          <w:top w:w="0" w:type="dxa"/>
          <w:left w:w="0" w:type="dxa"/>
          <w:bottom w:w="0" w:type="dxa"/>
          <w:right w:w="0" w:type="dxa"/>
        </w:tblCellMar>
      </w:tblPr>
      <w:tblGrid>
        <w:gridCol w:w="3451"/>
        <w:gridCol w:w="326"/>
        <w:gridCol w:w="300"/>
        <w:gridCol w:w="599"/>
        <w:gridCol w:w="464"/>
        <w:gridCol w:w="300"/>
        <w:gridCol w:w="599"/>
        <w:gridCol w:w="326"/>
        <w:gridCol w:w="217"/>
        <w:gridCol w:w="589"/>
        <w:gridCol w:w="336"/>
        <w:gridCol w:w="217"/>
        <w:gridCol w:w="708"/>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1385" cy="175260"/>
                      <wp:effectExtent l="0" t="0" r="0" b="0"/>
                      <wp:wrapNone/>
                      <wp:docPr id="129" name="Frame12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0500" cy="175260"/>
                      <wp:effectExtent l="0" t="0" r="0" b="0"/>
                      <wp:wrapNone/>
                      <wp:docPr id="131" name="Frame13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80365" cy="175260"/>
                      <wp:effectExtent l="0" t="0" r="0" b="0"/>
                      <wp:wrapNone/>
                      <wp:docPr id="132" name="Frame13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94640" cy="175260"/>
                      <wp:effectExtent l="0" t="0" r="0" b="0"/>
                      <wp:wrapNone/>
                      <wp:docPr id="133" name="Frame133"/>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0500" cy="175260"/>
                      <wp:effectExtent l="0" t="0" r="0" b="0"/>
                      <wp:wrapNone/>
                      <wp:docPr id="134" name="Frame13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80365" cy="175260"/>
                      <wp:effectExtent l="0" t="0" r="0" b="0"/>
                      <wp:wrapNone/>
                      <wp:docPr id="135" name="Frame13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7795" cy="175260"/>
                      <wp:effectExtent l="0" t="0" r="0" b="0"/>
                      <wp:wrapNone/>
                      <wp:docPr id="137" name="Frame13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74015" cy="175260"/>
                      <wp:effectExtent l="0" t="0" r="0" b="0"/>
                      <wp:wrapNone/>
                      <wp:docPr id="138" name="Frame13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3360" cy="175260"/>
                      <wp:effectExtent l="0" t="0" r="0" b="0"/>
                      <wp:wrapNone/>
                      <wp:docPr id="139" name="Frame13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7795" cy="175260"/>
                      <wp:effectExtent l="0" t="0" r="0" b="0"/>
                      <wp:wrapNone/>
                      <wp:docPr id="140" name="Frame14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49580" cy="175260"/>
                      <wp:effectExtent l="0" t="0" r="0" b="0"/>
                      <wp:wrapNone/>
                      <wp:docPr id="141" name="Frame141"/>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20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4" w:type="dxa"/>
            <w:tcBorders/>
            <w:vAlign w:val="center"/>
          </w:tcPr>
          <w:p>
            <w:pPr>
              <w:pStyle w:val="TableContents"/>
              <w:bidi w:val="0"/>
              <w:spacing w:before="0" w:after="1"/>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6" w:type="dxa"/>
            <w:tcBorders/>
            <w:vAlign w:val="center"/>
          </w:tcPr>
          <w:p>
            <w:pPr>
              <w:pStyle w:val="TableContents"/>
              <w:bidi w:val="0"/>
              <w:spacing w:before="0" w:after="1"/>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599" w:type="dxa"/>
            <w:tcBorders/>
            <w:shd w:fill="CCEEFF" w:val="clear"/>
            <w:vAlign w:val="center"/>
          </w:tcPr>
          <w:p>
            <w:pPr>
              <w:pStyle w:val="TableContents"/>
              <w:bidi w:val="0"/>
              <w:spacing w:before="0" w:after="1"/>
              <w:ind w:left="0" w:right="0" w:hanging="0"/>
              <w:jc w:val="right"/>
              <w:rPr/>
            </w:pPr>
            <w:r>
              <w:rPr/>
              <w:t>  </w:t>
            </w:r>
          </w:p>
        </w:tc>
        <w:tc>
          <w:tcPr>
            <w:tcW w:w="464"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59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  </w:t>
            </w:r>
          </w:p>
        </w:tc>
        <w:tc>
          <w:tcPr>
            <w:tcW w:w="33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pPr>
            <w:r>
              <w:rPr/>
              <w:t>  </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464"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c>
          <w:tcPr>
            <w:tcW w:w="33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464"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3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544</w:t>
            </w:r>
          </w:p>
        </w:tc>
        <w:tc>
          <w:tcPr>
            <w:tcW w:w="464"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1,239</w:t>
            </w:r>
          </w:p>
        </w:tc>
        <w:tc>
          <w:tcPr>
            <w:tcW w:w="33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2,321</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b/>
          <w:i/>
          <w:sz w:val="20"/>
        </w:rPr>
      </w:pPr>
      <w:bookmarkStart w:id="744" w:name="Tc_xSnbSK3GNUq7_et_Tu1dTQ_3_0"/>
      <w:bookmarkStart w:id="745" w:name="Tc_iiV_tQ_yrkaIoaiYXdXj2g_2_0"/>
      <w:bookmarkStart w:id="746" w:name="Tc_Us2v_Ra9x0OJfj9NrsRcuA_1_4"/>
      <w:bookmarkStart w:id="747" w:name="Tc_WLunJwVu-Uaun6iXdcGrIA_1_2"/>
      <w:bookmarkEnd w:id="744"/>
      <w:bookmarkEnd w:id="745"/>
      <w:bookmarkEnd w:id="746"/>
      <w:bookmarkEnd w:id="747"/>
      <w:r>
        <w:rPr>
          <w:rFonts w:ascii="Times New Roman;Times;serif" w:hAnsi="Times New Roman;Times;serif"/>
          <w:b/>
          <w:i/>
          <w:sz w:val="20"/>
        </w:rPr>
        <w:t>Restricted Stock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Restricted Stock Activity:</w:t>
      </w:r>
    </w:p>
    <w:p>
      <w:pPr>
        <w:pStyle w:val="TextBody"/>
        <w:bidi w:val="0"/>
        <w:spacing w:before="0" w:after="0"/>
        <w:ind w:left="0" w:right="0" w:hanging="0"/>
        <w:jc w:val="left"/>
        <w:rPr/>
      </w:pPr>
      <w:r>
        <w:rPr/>
        <w:t>​</w:t>
      </w:r>
    </w:p>
    <w:tbl>
      <w:tblPr>
        <w:tblW w:w="8021" w:type="dxa"/>
        <w:jc w:val="left"/>
        <w:tblInd w:w="0" w:type="dxa"/>
        <w:tblLayout w:type="fixed"/>
        <w:tblCellMar>
          <w:top w:w="0" w:type="dxa"/>
          <w:left w:w="0" w:type="dxa"/>
          <w:bottom w:w="0" w:type="dxa"/>
          <w:right w:w="0" w:type="dxa"/>
        </w:tblCellMar>
      </w:tblPr>
      <w:tblGrid>
        <w:gridCol w:w="3196"/>
        <w:gridCol w:w="109"/>
        <w:gridCol w:w="931"/>
        <w:gridCol w:w="109"/>
        <w:gridCol w:w="367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29460" cy="175260"/>
                      <wp:effectExtent l="0" t="0" r="0" b="0"/>
                      <wp:wrapNone/>
                      <wp:docPr id="142" name="Frame142"/>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1185" cy="175260"/>
                      <wp:effectExtent l="0" t="0" r="0" b="0"/>
                      <wp:wrapNone/>
                      <wp:docPr id="144" name="Frame1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34260" cy="175260"/>
                      <wp:effectExtent l="0" t="0" r="0" b="0"/>
                      <wp:wrapNone/>
                      <wp:docPr id="146" name="Frame146"/>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Awards</w:t>
            </w:r>
          </w:p>
        </w:tc>
        <w:tc>
          <w:tcPr>
            <w:tcW w:w="109" w:type="dxa"/>
            <w:tcBorders/>
            <w:shd w:fill="FFFFFF" w:val="clear"/>
            <w:vAlign w:val="center"/>
          </w:tcPr>
          <w:p>
            <w:pPr>
              <w:pStyle w:val="TableContents"/>
              <w:bidi w:val="0"/>
              <w:spacing w:before="0" w:after="0"/>
              <w:ind w:left="0" w:right="0" w:hanging="0"/>
              <w:jc w:val="left"/>
              <w:rPr/>
            </w:pPr>
            <w:r>
              <w:rPr/>
              <w:t>​</w:t>
            </w:r>
          </w:p>
        </w:tc>
        <w:tc>
          <w:tcPr>
            <w:tcW w:w="36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 Grant Date Fair Value</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shd w:fill="CCEEFF" w:val="clear"/>
            <w:vAlign w:val="center"/>
          </w:tcPr>
          <w:p>
            <w:pPr>
              <w:pStyle w:val="TableContents"/>
              <w:bidi w:val="0"/>
              <w:spacing w:before="0" w:after="0"/>
              <w:ind w:left="0" w:right="0" w:hanging="0"/>
              <w:jc w:val="left"/>
              <w:rPr/>
            </w:pPr>
            <w:r>
              <w:rPr/>
              <w:t>​</w:t>
            </w:r>
          </w:p>
        </w:tc>
        <w:tc>
          <w:tcPr>
            <w:tcW w:w="3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$ 0.57</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as of June 30, 2023</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c>
          <w:tcPr>
            <w:tcW w:w="109" w:type="dxa"/>
            <w:tcBorders/>
            <w:vAlign w:val="center"/>
          </w:tcPr>
          <w:p>
            <w:pPr>
              <w:pStyle w:val="TableContents"/>
              <w:bidi w:val="0"/>
              <w:spacing w:before="0" w:after="0"/>
              <w:ind w:left="0" w:right="0" w:hanging="0"/>
              <w:jc w:val="left"/>
              <w:rPr/>
            </w:pPr>
            <w:r>
              <w:rPr/>
              <w:t>​</w:t>
            </w:r>
          </w:p>
        </w:tc>
        <w:tc>
          <w:tcPr>
            <w:tcW w:w="367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$ 0.57</w:t>
            </w:r>
          </w:p>
        </w:tc>
      </w:tr>
    </w:tbl>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of June 30, 2023, total unrecognized compensation expense related to unvested RSAs granted was approximately $0.4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which is expected to be recognized over a weighted-average period of approximately 2.0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related to RSAs was approximately $0.0 million and less than $0.1 million during the three and six months ended June 30,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48" w:name="Tc_wb_k2gJxI0-6535PYCiS-Q_9_7"/>
      <w:bookmarkStart w:id="749" w:name="Tc_t-kaqBm_gUWMHxKBiJHDpg_9_4"/>
      <w:bookmarkStart w:id="750" w:name="Tc_Ph7f-Zt8CU2XbBiUnr6RoQ_9_2"/>
      <w:bookmarkStart w:id="751" w:name="Tc_lwjnx6Roa0yVGuFKVTGmVw_9_0"/>
      <w:bookmarkStart w:id="752" w:name="Tc_zHSbggvus0-9dO_TCA3fyQ_8_7"/>
      <w:bookmarkStart w:id="753" w:name="Tc_jtD9IBXjpkep5j-u0EtJsA_8_4"/>
      <w:bookmarkStart w:id="754" w:name="Tc_DO4KDuC-RU-ATCi7U2mpAA_8_2"/>
      <w:bookmarkStart w:id="755" w:name="Tc_oBap7I0Z3k2rZfFnyCeQ1g_8_0"/>
      <w:bookmarkStart w:id="756" w:name="Tc_q2c2YRChy0OGRJ6O8ZK2Tw_7_0"/>
      <w:bookmarkStart w:id="757" w:name="Tc_RieWuFsQ70WPDaADaAR9oA_5_7"/>
      <w:bookmarkStart w:id="758" w:name="Tc_HW2KKIszJ02UI5WX7p2EAQ_5_4"/>
      <w:bookmarkStart w:id="759" w:name="Tc_o2lHYaYspkiGlqW1U-skiw_5_2"/>
      <w:bookmarkStart w:id="760" w:name="Tc_2hDdYxcSXUyUwFXgJiJPiA_5_0"/>
      <w:bookmarkStart w:id="761" w:name="Tc_dtMibTSnsUiX60zcGljJ2Q_4_0"/>
      <w:bookmarkStart w:id="762" w:name="Tc_oVSOsXHV_0Sz0GvP2q87RQ_3_4"/>
      <w:bookmarkStart w:id="763" w:name="Tc_LSd8OrwJ6kuCyOr3XNwdxw_2_7"/>
      <w:bookmarkStart w:id="764" w:name="Tc_w6bgX_j0KUu5fPD5hweC2A_2_4"/>
      <w:bookmarkStart w:id="765" w:name="Tc_Xiv04amDGEaSaJeSMOOSgQ_2_2"/>
      <w:bookmarkStart w:id="766" w:name="Tc_fSqZkH03AkSdGLTUiMZnyQ_2_0"/>
      <w:bookmarkStart w:id="767" w:name="Tc_Kd2z-zOr-USzhy9NE2R3Ug_1_7"/>
      <w:bookmarkStart w:id="768" w:name="Tc_FvNV1A6WTkKYyu7Y5IYSfg_1_4"/>
      <w:bookmarkStart w:id="769" w:name="_8d2738c3_52b3_466f_afc6_1e8290fdf343"/>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sz w:val="20"/>
        </w:rPr>
        <w:t>11.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measurements discussed herein are based upon certain market assumptions and pertinent information available to management as of and during the three and six months ended June 30, 2023 and year ended December 31, 2022. The carrying amount of accounts payable approximated fair value as they are short term in nature. The fair value of warrants issued for services are estimated based on the Black-Scholes model during the three and six months ended June 30, 2023 and year ended December 31, 2022. The fair value of the Note was estimated utilizing a Monte Carlo simulation during the three and six months ended June 30, 2023 and the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June 30, 2023 and year ended December 31, 2022, and indicates the fair value hierarchy of the valuation inputs the Company utilized to determine such fair value (in thousands):</w:t>
      </w:r>
    </w:p>
    <w:tbl>
      <w:tblPr>
        <w:tblW w:w="6224" w:type="dxa"/>
        <w:jc w:val="left"/>
        <w:tblInd w:w="0" w:type="dxa"/>
        <w:tblLayout w:type="fixed"/>
        <w:tblCellMar>
          <w:top w:w="0" w:type="dxa"/>
          <w:left w:w="0" w:type="dxa"/>
          <w:bottom w:w="0" w:type="dxa"/>
          <w:right w:w="0" w:type="dxa"/>
        </w:tblCellMar>
      </w:tblPr>
      <w:tblGrid>
        <w:gridCol w:w="2896"/>
        <w:gridCol w:w="326"/>
        <w:gridCol w:w="496"/>
        <w:gridCol w:w="326"/>
        <w:gridCol w:w="231"/>
        <w:gridCol w:w="744"/>
        <w:gridCol w:w="109"/>
        <w:gridCol w:w="230"/>
        <w:gridCol w:w="86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38960" cy="175260"/>
                      <wp:effectExtent l="0" t="0" r="0" b="0"/>
                      <wp:wrapNone/>
                      <wp:docPr id="147" name="Frame147"/>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14960" cy="175260"/>
                      <wp:effectExtent l="0" t="0" r="0" b="0"/>
                      <wp:wrapNone/>
                      <wp:docPr id="149" name="Frame14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6685" cy="175260"/>
                      <wp:effectExtent l="0" t="0" r="0" b="0"/>
                      <wp:wrapNone/>
                      <wp:docPr id="151" name="Frame15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72440" cy="175260"/>
                      <wp:effectExtent l="0" t="0" r="0" b="0"/>
                      <wp:wrapNone/>
                      <wp:docPr id="152" name="Frame152"/>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6050" cy="175260"/>
                      <wp:effectExtent l="0" t="0" r="0" b="0"/>
                      <wp:wrapNone/>
                      <wp:docPr id="154" name="Frame1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49910" cy="175260"/>
                      <wp:effectExtent l="0" t="0" r="0" b="0"/>
                      <wp:wrapNone/>
                      <wp:docPr id="155" name="Frame15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8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1"/>
              <w:ind w:left="0" w:right="0" w:hanging="0"/>
              <w:jc w:val="center"/>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1"/>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4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Account</w:t>
            </w:r>
          </w:p>
        </w:tc>
        <w:tc>
          <w:tcPr>
            <w:tcW w:w="32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9,810</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15,249</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4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4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right"/>
              <w:rPr/>
            </w:pPr>
            <w:r>
              <w:rPr/>
              <w:t>​</w:t>
            </w:r>
          </w:p>
        </w:tc>
        <w:tc>
          <w:tcPr>
            <w:tcW w:w="74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 (Note 11)</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(Note 7)</w:t>
            </w:r>
          </w:p>
        </w:tc>
        <w:tc>
          <w:tcPr>
            <w:tcW w:w="32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12,692</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10,525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770" w:name="Tc_SHWlU5w6NEyqARUY9Ywbcw_12_5"/>
      <w:bookmarkStart w:id="771" w:name="Tc_HPR_CxCnJ06O9uYFQr10Gg_12_3"/>
      <w:bookmarkStart w:id="772" w:name="Tc_1IHZSrBkpE2StVlx086fIw_12_2"/>
      <w:bookmarkStart w:id="773" w:name="Tc_XmXd7G3e0US-W-P6fh6GIA_12_0"/>
      <w:bookmarkStart w:id="774" w:name="Tc__NbBFVoaSkmfyeTN37UjUg_11_5"/>
      <w:bookmarkStart w:id="775" w:name="Tc_cF3QjzTvdkaSYXtz-Mrc7Q_11_2"/>
      <w:bookmarkStart w:id="776" w:name="Tc_ii0OE0hX8kmtVhOkYEreOQ_11_0"/>
      <w:bookmarkStart w:id="777" w:name="Tc_3Am5c1TyBEGZzeRCAjYN3Q_9_5"/>
      <w:bookmarkStart w:id="778" w:name="Tc_MnlyDO1ltkiNgw1y_q1CnQ_9_2"/>
      <w:bookmarkStart w:id="779" w:name="Tc_xJqlinMbBkmoTtewbOQhJw_9_0"/>
      <w:bookmarkStart w:id="780" w:name="Tc_lLAU5f7wyEqKoXmLbrHaAQ_8_6"/>
      <w:bookmarkStart w:id="781" w:name="Tc_-5mvjzOt1kSllHUa8SU3Sw_8_0"/>
      <w:bookmarkStart w:id="782" w:name="Tc_XntVNHKi20mdhjHNjvukcw_7_0"/>
      <w:bookmarkStart w:id="783" w:name="Tc_HIVbyBl_E0i_2sQ0fTyNIg_6_0"/>
      <w:bookmarkStart w:id="784" w:name="Tc_SPhMMedA0k6WsVXFZZ5GaQ_5_6"/>
      <w:bookmarkStart w:id="785" w:name="Tc_UIJlxIApMkmPFnUWRLQMbg_5_0"/>
      <w:bookmarkStart w:id="786" w:name="Tc_TO20J4zdKE6OwdSjdQy_EQ_4_0"/>
      <w:bookmarkStart w:id="787" w:name="Tc_DVCcRLdUaU-qCKamHGCmXw_3_5"/>
      <w:bookmarkStart w:id="788" w:name="Tc_DcrpHIu1Dk-tI2c2f3Mf8g_3_2"/>
      <w:bookmarkStart w:id="789" w:name="Tc_Jfp5vb_aNkC7s8sT_Od4dw_3_0"/>
      <w:bookmarkStart w:id="790" w:name="Tc_RJMigKtFD0i2yG1HXPgu0A_2_2"/>
      <w:bookmarkStart w:id="791" w:name="Tc_tpj4LrNx-k-tVSH6gbE9Kg_1_5"/>
      <w:bookmarkStart w:id="792" w:name="Tc_LYpVM4U0jEm_a3CXhdZMAw_1_2"/>
      <w:bookmarkStart w:id="793" w:name="_d21fa52a_d679_44c6_8f15_80354a0a3b52"/>
      <w:bookmarkStart w:id="794" w:name="Tc_Eni5BRjzr0KKwGSSTffJaQ_8_0"/>
      <w:bookmarkStart w:id="795" w:name="Tc_i1p3AkpBHkKDJQQQCSRhIg_7_0"/>
      <w:bookmarkStart w:id="796" w:name="Tc_W4RxsI7ASUiF7SNwumVGjg_6_0"/>
      <w:bookmarkStart w:id="797" w:name="Tc_WnlWKHLhuEmOH4Z-jDEWkQ_5_0"/>
      <w:bookmarkStart w:id="798" w:name="Tc_1vz4mTOZ-0aZ4a4vDMdt3w_4_0"/>
      <w:bookmarkStart w:id="799" w:name="Tc_50xBMyhw2kqBku-4d6A16Q_3_0"/>
      <w:bookmarkStart w:id="800" w:name="Tc_aNJ52U24IEC-cregZm8s8g_2_2"/>
      <w:bookmarkStart w:id="801" w:name="Tc_fh7Yt96YuUuWCxzrzgjnZg_2_0"/>
      <w:bookmarkStart w:id="802" w:name="Tc_dji5G3-WZkuxGgIkqbsNjw_1_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sz w:val="20"/>
        </w:rPr>
        <w:t>Convertible Note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significant inputs used in the Monte Carlo simulation to measure the convertible note liability that is categorized within Level 3 of the fair value hierarchy are as follows:</w:t>
      </w:r>
    </w:p>
    <w:p>
      <w:pPr>
        <w:pStyle w:val="TextBody"/>
        <w:bidi w:val="0"/>
        <w:spacing w:before="0" w:after="0"/>
        <w:ind w:left="0" w:right="0" w:hanging="0"/>
        <w:jc w:val="left"/>
        <w:rPr/>
      </w:pPr>
      <w:r>
        <w:rPr/>
        <w:t>​</w:t>
      </w:r>
    </w:p>
    <w:tbl>
      <w:tblPr>
        <w:tblW w:w="4002" w:type="dxa"/>
        <w:jc w:val="left"/>
        <w:tblInd w:w="0" w:type="dxa"/>
        <w:tblLayout w:type="fixed"/>
        <w:tblCellMar>
          <w:top w:w="0" w:type="dxa"/>
          <w:left w:w="0" w:type="dxa"/>
          <w:bottom w:w="0" w:type="dxa"/>
          <w:right w:w="0" w:type="dxa"/>
        </w:tblCellMar>
      </w:tblPr>
      <w:tblGrid>
        <w:gridCol w:w="2506"/>
        <w:gridCol w:w="326"/>
        <w:gridCol w:w="249"/>
        <w:gridCol w:w="92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91310" cy="175260"/>
                      <wp:effectExtent l="0" t="0" r="0" b="0"/>
                      <wp:wrapNone/>
                      <wp:docPr id="156" name="Frame15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8115" cy="175260"/>
                      <wp:effectExtent l="0" t="0" r="0" b="0"/>
                      <wp:wrapNone/>
                      <wp:docPr id="158" name="Frame15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4835" cy="175260"/>
                      <wp:effectExtent l="0" t="0" r="0" b="0"/>
                      <wp:wrapNone/>
                      <wp:docPr id="159" name="Frame159"/>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 on valuation date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to expiration</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0.84</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market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volatility</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 of default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w:t>
            </w:r>
          </w:p>
        </w:tc>
      </w:tr>
    </w:tbl>
    <w:p>
      <w:pPr>
        <w:pStyle w:val="TextBody"/>
        <w:pBdr/>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changes in the fair value of the Note categorized within Level 3 of the fair value hierarchy (in thousands):</w:t>
      </w:r>
    </w:p>
    <w:tbl>
      <w:tblPr>
        <w:tblW w:w="8919" w:type="dxa"/>
        <w:jc w:val="left"/>
        <w:tblInd w:w="0" w:type="dxa"/>
        <w:tblLayout w:type="fixed"/>
        <w:tblCellMar>
          <w:top w:w="0" w:type="dxa"/>
          <w:left w:w="0" w:type="dxa"/>
          <w:bottom w:w="0" w:type="dxa"/>
          <w:right w:w="0" w:type="dxa"/>
        </w:tblCellMar>
      </w:tblPr>
      <w:tblGrid>
        <w:gridCol w:w="6031"/>
        <w:gridCol w:w="109"/>
        <w:gridCol w:w="267"/>
        <w:gridCol w:w="858"/>
        <w:gridCol w:w="109"/>
        <w:gridCol w:w="344"/>
        <w:gridCol w:w="120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829685" cy="175260"/>
                      <wp:effectExtent l="0" t="0" r="0" b="0"/>
                      <wp:wrapNone/>
                      <wp:docPr id="160" name="Frame160"/>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9545" cy="175260"/>
                      <wp:effectExtent l="0" t="0" r="0" b="0"/>
                      <wp:wrapNone/>
                      <wp:docPr id="162" name="Frame16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44830" cy="175260"/>
                      <wp:effectExtent l="0" t="0" r="0" b="0"/>
                      <wp:wrapNone/>
                      <wp:docPr id="163" name="Frame163"/>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8440" cy="175260"/>
                      <wp:effectExtent l="0" t="0" r="0" b="0"/>
                      <wp:wrapNone/>
                      <wp:docPr id="165" name="Frame16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62635" cy="175260"/>
                      <wp:effectExtent l="0" t="0" r="0" b="0"/>
                      <wp:wrapNone/>
                      <wp:docPr id="166" name="Frame16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 value of the Note</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Principal</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Carrying value of the Note before current period change in fair value</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10,235</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through earnings</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through accumulated other comprehensive income</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carrying value of Note</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12,692</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6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 current portion</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12,692</w:t>
            </w:r>
          </w:p>
        </w:tc>
        <w:tc>
          <w:tcPr>
            <w:tcW w:w="109"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 payable, net of current portion</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5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2,822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Warrant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03" w:name="Tc_zypyAYO-UEqFatw26pFkFg_6_2"/>
      <w:bookmarkStart w:id="804" w:name="Tc_6i_AWNCAH0eTdQqWqoNH_g_6_0"/>
      <w:bookmarkStart w:id="805" w:name="Tc_GuaXMRx7Z02FO-YfuVXPvg_4_0"/>
      <w:bookmarkStart w:id="806" w:name="Tc_bLVNiJnKqkaSfPXhmMDaFQ_2_2"/>
      <w:bookmarkStart w:id="807" w:name="Tc_hyP85CrPhU6b4hbehOA3og_2_0"/>
      <w:bookmarkStart w:id="808" w:name="Tc_nftUU3SEnEOCAH-UFHghVA_1_2"/>
      <w:bookmarkStart w:id="809" w:name="_f960b9fe_6d88_486d_8b34_a329aa983f31"/>
      <w:bookmarkStart w:id="810" w:name="Tc_wnkBm8EyGEWTx-n_wA_lZA_8_3"/>
      <w:bookmarkStart w:id="811" w:name="Tc_uf20K1m71E63gnRasqpw2g_8_2"/>
      <w:bookmarkStart w:id="812" w:name="Tc_09YeLf_Bs0y1nbUkXhrisg_8_0"/>
      <w:bookmarkStart w:id="813" w:name="Tc_jeNwMft8GUmeq8s8P_VPRQ_7_0"/>
      <w:bookmarkStart w:id="814" w:name="Tc_WC1jzGClrEupTRGc-yYG4g_6_3"/>
      <w:bookmarkStart w:id="815" w:name="Tc_r_azQsTTxEa-Kre6DYqiRw_6_0"/>
      <w:bookmarkStart w:id="816" w:name="Tc_WYru7QblZkqpEB0fFaybMA_5_3"/>
      <w:bookmarkStart w:id="817" w:name="Tc_fHRWbhInyEGKzULUW4sAxA_5_0"/>
      <w:bookmarkStart w:id="818" w:name="Tc_PxBVZQeSOkizvF6EPf1PEQ_4_3"/>
      <w:bookmarkStart w:id="819" w:name="Tc_58W5fxU250OW0RN37g7UOA_4_0"/>
      <w:bookmarkStart w:id="820" w:name="Tc_5xoDz__3Z0uu_ON3oFIrTA_3_3"/>
      <w:bookmarkStart w:id="821" w:name="Tc_zC1Wi49nIE6G2aTeYYMniQ_3_2"/>
      <w:bookmarkStart w:id="822" w:name="Tc__84MqGYRgEmN7AXD3ErXfQ_3_0"/>
      <w:bookmarkStart w:id="823" w:name="Tc_D4lQbuHoZ06d9Sp0yjR3pA_2_3"/>
      <w:bookmarkStart w:id="824" w:name="Tc_F4Pr41igt0GwtPpGGkYWaw_2_2"/>
      <w:bookmarkStart w:id="825" w:name="Tc_BnClEpeII0Gz2NWqVRn4sw_2_0"/>
      <w:bookmarkStart w:id="826" w:name="Tc_YTTIbtQgQ0mD-PANZlwQpg_1_2"/>
      <w:bookmarkStart w:id="827" w:name="_2ead451b_477e_40c6_a321_fe6f314a06be"/>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sz w:val="20"/>
        </w:rPr>
        <w:t>The significant inputs used in the Black-Scholes model to measure the warrant liabilities that are categorized within Level 3 of the fair value hierarchy are as follows:</w:t>
      </w:r>
    </w:p>
    <w:tbl>
      <w:tblPr>
        <w:tblW w:w="4334" w:type="dxa"/>
        <w:jc w:val="left"/>
        <w:tblInd w:w="0" w:type="dxa"/>
        <w:tblLayout w:type="fixed"/>
        <w:tblCellMar>
          <w:top w:w="0" w:type="dxa"/>
          <w:left w:w="0" w:type="dxa"/>
          <w:bottom w:w="0" w:type="dxa"/>
          <w:right w:w="0" w:type="dxa"/>
        </w:tblCellMar>
      </w:tblPr>
      <w:tblGrid>
        <w:gridCol w:w="2506"/>
        <w:gridCol w:w="326"/>
        <w:gridCol w:w="211"/>
        <w:gridCol w:w="12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91310" cy="175260"/>
                      <wp:effectExtent l="0" t="0" r="0" b="0"/>
                      <wp:wrapNone/>
                      <wp:docPr id="167" name="Frame16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9785" cy="175260"/>
                      <wp:effectExtent l="0" t="0" r="0" b="0"/>
                      <wp:wrapNone/>
                      <wp:docPr id="170" name="Frame17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 on valuation date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0.48 - 0.66</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 per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3.48 - 11.50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0.02 - 3.15</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55.0 - 175.1%</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3.79 - 5.31%</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0.00 - 79.34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warrant liabilities is included below (in thousands):</w:t>
      </w:r>
    </w:p>
    <w:tbl>
      <w:tblPr>
        <w:tblW w:w="4317" w:type="dxa"/>
        <w:jc w:val="left"/>
        <w:tblInd w:w="0" w:type="dxa"/>
        <w:tblLayout w:type="fixed"/>
        <w:tblCellMar>
          <w:top w:w="0" w:type="dxa"/>
          <w:left w:w="0" w:type="dxa"/>
          <w:bottom w:w="0" w:type="dxa"/>
          <w:right w:w="0" w:type="dxa"/>
        </w:tblCellMar>
      </w:tblPr>
      <w:tblGrid>
        <w:gridCol w:w="2821"/>
        <w:gridCol w:w="326"/>
        <w:gridCol w:w="357"/>
        <w:gridCol w:w="813"/>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91335" cy="175260"/>
                      <wp:effectExtent l="0" t="0" r="0" b="0"/>
                      <wp:wrapNone/>
                      <wp:docPr id="171" name="Frame17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6695" cy="175260"/>
                      <wp:effectExtent l="0" t="0" r="0" b="0"/>
                      <wp:wrapNone/>
                      <wp:docPr id="173" name="Frame17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6255" cy="175260"/>
                      <wp:effectExtent l="0" t="0" r="0" b="0"/>
                      <wp:wrapNone/>
                      <wp:docPr id="174" name="Frame174"/>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upon re-measurement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upon re-measurement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Income Taxes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recorded no provision or benefit for income tax expense for the six months ended June 30, 2023 and 2022, respectively.</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no open tax audits with any taxing authority as of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Glytech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June 30, 2023 and 2022, the Company paid Glytech $0.1 million and $0.1 million, respectively, for continuing technology support services and reimbursed expenses. During the six months ended June 30, 2023 and 2022, the Company paid Glytech $0.2 million and $0.1 million, respectively, for continuing technology support services and reimbursed expenses. These support services are ongoing.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January 31, 2023, (i) the value of the Glytech equity holdings in NRx 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Glytech Agreement was amended to extend the period to meet these conditions until August 6, 2023 and the parties are currently negotiating an extension to meet these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Consulting Agreement with Dr. Jonathan Javitt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$0.1 million and $0.2 million during the three months ended June 30, 2023 and 2022, respectively, and $0.5 million and $0.4 million during the six months ended June 30,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bonus for 2023, if any, is payable in March 2024, will be pro-rated from the start of the extension period and is subject to Dr. Javitt’s continued engagement by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amendment also provides, subject to the approval of the Board of Directors, for a grant of 500,000 shares of restricted stock of the Company under the Company’s 2021 Omnibus Incentive Plan. The restrictions are performance based, and half of the restricted shares (250,000) shall have the restrictions removed on the New Drug Application Date (as defined below) and the remaining half (250,000) will have the restrictions removed on the New Drug Approval Date (as defined below). As of June 30, 2023, the Board of Directors has not approved the grant of restricted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“New Drug Application Date” means the date upon which the Food and Drug Administration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Consulting Agreement with Zachary Javitt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less than $0.1 million and less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$0.1 million during the three months ended June 30, 2023 and 2022, respectively. The Company paid this family member a total of less than $0.1 million and $0.1 million during the six months ended June 30, 2023 and 2022, respectively. These services are ongoing.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Agreements with PillTracker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paid PillTracker for digital health product development required to track the use of Aviptadil in clinical trials. Zachary Javitt and Dr.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and all work orders thereunder, have been suspended by mutual agreement pending the Company’s re-evaluation of its respiratory franchise. NRx Pharmaceuticals paid PillTracker $0.2 million during the six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accounts payable were less than $0.1 million and less than $0.1 million due to the above related parties as of June 30, 2023 and December 31, 2022, respectively.</w:t>
      </w:r>
    </w:p>
    <w:p>
      <w:pPr>
        <w:pStyle w:val="TextBody"/>
        <w:bidi w:val="0"/>
        <w:spacing w:lineRule="atLeast" w:line="220" w:before="0" w:after="0"/>
        <w:ind w:left="0" w:right="0" w:hanging="0"/>
        <w:jc w:val="both"/>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lineRule="atLeast" w:line="220"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Convertible Promissory Note Amendment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discussed above on Note 7, on July 7, 2023, NRX Pharmaceuticals, Inc. entered into the Second Amendment, with the Lender. Pursuant to the Second Amendment, the Company and the Lender agreed to further amend the terms of the Note. In accordance with the Second Amendment, the Company and the Lender agreed to amend the redemption provisions of the Note. In particular, the Company agreed to pay the Lender an amount in cash equal to $1,800,000 on or before July 10, 2023, which amount was paid on July 10, 2023. In addition, on or before each Minimum Payment Period, the Company has agreed to pay the Lender a Minimum Payment of $400,000, less any amount satisfied by the delivery of Redemption Conversion Shares (as defined and discussed below). The Lender may also submit a request for redemption of up to the Maximum Monthly Redemption Amount and, together with the Minimum Payment Amount, the “Redemption Amounts”) in accordance with the terms of the Note. However, the portion of each Minimum Payment that is not satisfied by the delivery of Redemption Conversion Shares is the maximum amount of cash the Company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 Equity Conditions Failure (as defined in the Note). Moreover, the Redemption Premium (as defined in the Note) will continue to apply to the Redemption Amounts.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GEM Settlement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discussed above in Note 8, on July 17, 2023, NeuroRx and GEM entered into the Settlement Agreement, pursuant to which the parties agreed to dismiss the arbitration proceeding brought by GEM with prejudice.  Pursuant to the Settlement Agreement, the Company will issue 675,676 restricted shares to GEM.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NRX PHARMACEUTICALS, INC.</w:t>
      </w:r>
    </w:p>
    <w:p>
      <w:pPr>
        <w:pStyle w:val="TextBody"/>
        <w:bidi w:val="0"/>
        <w:spacing w:before="0" w:after="60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Licensure of a US Patent to Support Use of NRX-101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signed an agreement with Dr. Vania Apkarian, Professor of Physiology, Anesthesia, Surgery, and Neuroscience Institute, Northwestern University Feinberg School of Medicine to join the NRx Pharmaceuticals Scientific Advisory Board (SAB).</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Compliance with Nasdaq Listing Requirements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20, 2023, the Company received a written notification (the “Notice”) from the Nasdaq Stock Market LLC indicating that the Company was not in compliance with Nasdaq Listing Rule 5450(b)(2)(A) – Market Value of Listed Securities (“MVLS”) because the Company had not maintained a minimum MVLS of $50,000,000 for the past thirty-three (33) consecutive business days.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Nasdaq Listing Rule 5810(c)(3)(C), the Company has been provided an initial compliance period of 180 calendar days, or until January 22, 2024, to regain compliance with the MVLS requirement. To regain compliance, the Company’s MVLS must meet or exceed $50,000,000 for a minimum period of ten consecutive business days prior to January 22, 2024.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does not regain compliance within the allotted compliance period, Nasdaq will provide notice that the Common Stock will be subject to delisting.</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28" w:name="Item7ManagementsDiscussionandAnalysisofF"/>
      <w:bookmarkStart w:id="829" w:name="_8ed2dca5_8cd3_43a0_a20e_5c5724c2e2db"/>
      <w:bookmarkEnd w:id="828"/>
      <w:bookmarkEnd w:id="829"/>
      <w:r>
        <w:rPr>
          <w:rFonts w:ascii="Times New Roman;Times;serif" w:hAnsi="Times New Roman;Times;serif"/>
          <w:b/>
          <w:sz w:val="20"/>
        </w:rPr>
        <w:t>Item 2. Management’s Discussion and Analysis of Financial Condition and Results of Operations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Overview</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is a clinical stage pharmaceutical company that is developing, through its wholly owned operating subsidiary, NeuroRx, NRX-100 and NRX-101, the first oral therapeutic for the treatment of Bipolar Depression in patients with Acute Suicidal Ideation and Behavior (ASIB) and Sub-Acute Suicidal Ideation and Behavior (“SSIB”). NRX-100 and NRX-101 were developed based upon 30 years of basic science and clinical expertise contributed by Dr. Daniel Javitt, MD, PhD, related to the role of the brain’s N-methyl-D-aspartate (“NMDA”) receptor in regulating human thought processes in general and in regulating depression and suicidality. The NRX-100 and NRX-101 investigational therapy begins with a single dose of ketamine (NRX-100), a Food &amp; Drug Administration (“FDA”) approved anesthetic, followed by approximately six weeks of daily oral NRX-101. NRX-101 is being developed as a rapid-onset and sustained treatment for bipolar depression with ASIB and SSIB. NRX-101 combines d-Cycloserine, or DCS, a NMDA receptor modulator, and lurasidone, a 5-HT2a receptor antagonist.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2022, NRx Pharmaceuticals announced a primary focus on its psychiatry franchise and the late-stage development of NRX-101 for the treatment of bipolar depression in patients with suicidality. NRX-101 is a fixed dose combination of D-cycloserine, an NMDA antagonist, and lurasidone, a 5-HT</w:t>
      </w:r>
      <w:r>
        <w:rPr>
          <w:rFonts w:ascii="Times New Roman;Times;serif" w:hAnsi="Times New Roman;Times;serif"/>
          <w:sz w:val="15"/>
        </w:rPr>
        <w:t>2A</w:t>
      </w:r>
      <w:r>
        <w:rPr>
          <w:rFonts w:ascii="Times New Roman;Times;serif" w:hAnsi="Times New Roman;Times;serif"/>
          <w:sz w:val="20"/>
        </w:rPr>
        <w:t xml:space="preserve"> atypical antipsychotic and antidepressant, for the maintenance of remission from severe bipolar depression following initial stabilization with ketamine. The previously undiscovered synergy between these two drug classes in the treatment of CNS disorders, combined with the efficacy of D-cycloserine in the treatment of depression and PTSD, is the subject of 47 issued patents and more than 43 pending patents owned by or licensed to NRx Pharmaceuticals.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 Severe Bipolar Depression in Patients with Acute Suicidal Ideation and Behavior (ASIB) After Initial Stabilization with ketamine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NRX-101 received an investigational new drug (IND) clearance by the U.S. Food and Drug Administration (FDA) and a Phase 2b/3 clinical trial commenced for bipolar depression with ASIB. Later that year, the FDA granted NRX-101 a Fast Track designation for the same indication.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FDA provided a Letter of Support to the Company encouraging the development of Glutamine+Glutamate (Glx) as a pharmacodynamic biomarker for depression. The letter referenced published and unpublished data demonstrating a significant association between clinical symptoms of depression and levels of brain Glx.</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STABIL-B Phase 2 trial, the Phase 2 portion of the Phase 2b/3 trial, patients with bipolar depression and ASIB received either NRX-101 or lurasidone after an intravenous infusion of NRX-100 (ketamine). The proof-of-concept data presented at the American Congress of Neuropsychopharmacology in 2018 demonstrated with statistical significance that NRX-101 treated patients experienced lower depression scores and did not relapse.</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STABIL-B findings, the FDA granted NRX-101 Breakthrough Therapy Designation and a Special Protocol Agreement (“SPA”) for bipolar depression in patients with ASIB, which affects ~150K-180K patients per year in the U.S. The Breakthrough Therapy Designation allows for an expedited rolling submission of a new drug application (“NDA”) for investigational drugs that have demonstrated substantial improvement over existing approved therapies, and the SPA allows for a single registrational trial of NRX-101 in severe bipolar depression in patients with ASIB after stabilization with ketamine, using a protocol similar to the STABIL-B trial with a patient population of less than 100.</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NRx Pharmaceuticals announced that it has transferred Phase 3 commercial drug manufacturing processes to the U.S. and released Phase 3 drug manufactured via the expected commercial-stage processes. NRx Pharmaceuticals has submitted its manufacturing file to the FDA. This investigational drug manufactured according to these new processes will be used in the upcoming Phase 3 trial.</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initiating a new registrational study of NRX-101 for the treatment of severe bipolar depression with ASIB, a potentially lethal condition that currently takes the lives of thousands of Americans each year, after initial stabilization with NRX-100 (described below). We intend to use newly manufactured material that was manufactured using the expected commercial process.</w:t>
            </w:r>
          </w:p>
        </w:tc>
      </w:tr>
    </w:tbl>
    <w:p>
      <w:pPr>
        <w:pStyle w:val="TextBody"/>
        <w:bidi w:val="0"/>
        <w:spacing w:lineRule="auto" w:line="302"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Company announced its receipt of the written minutes of a Type B meeting held with the FDA on January 11, 2023,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accomplished could represent a more straightforward development program. This broader indication would enable the Company to potentially demonstrate the use of NRX-101 to maintain stabilization from suicidality in patients stabilized either with ketamine (NRX-100) or with other standard of care therapeutic approaches. FDA encouraged the Company to request a Breakthrough Therapy Planning Meeting for NRX-101, which we intend to do in the next few months.</w:t>
            </w:r>
          </w:p>
        </w:tc>
      </w:tr>
    </w:tbl>
    <w:p>
      <w:pPr>
        <w:pStyle w:val="TextBody"/>
        <w:bidi w:val="0"/>
        <w:spacing w:lineRule="auto" w:line="302" w:before="0" w:after="0"/>
        <w:ind w:left="72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Bipolar Depression in Patients with Sub-acute Suicidal Ideation and Behavior (SSIB)</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2 double-blind study completed in 2018 demonstrated the ability of NRX-101 to improve depression and suicidality over 6 weeks when taken twice daily over lurasidone alone after an initial stabilization with ketamine. The current study involving patients with bipolar depression and sub-acute suicidality (not requiring hospitalization) does not include the use of ketamine; all patients are being treated in an outpatient setting.</w:t>
            </w:r>
          </w:p>
        </w:tc>
      </w:tr>
    </w:tbl>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Consolidated NRX-101 Program in </w:t>
      </w:r>
      <w:r>
        <w:rPr>
          <w:rFonts w:ascii="Times New Roman;Times;serif" w:hAnsi="Times New Roman;Times;serif"/>
          <w:color w:val="231F20"/>
          <w:sz w:val="20"/>
        </w:rPr>
        <w:t>Suicidal Treatment-Resistant Bipolar Depression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Based on the comments and guidance from the FDA in its Type B meeting regarding the registrational Acute Suicidality trial and a potentially broader indication, as well as guidance the Company received from the Data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Safety Monitoring Board (the “DSMB”) regarding the ongoing Phase IIb/3 clinical study of NRX-101 for the treatment of severe bipolar depression in patients with SSIB, the Company is evaluating changes to its registrational program for NRX-101 and will seek to consolidate patients originally expected to enroll in the ASIB study into the currently enrolling Phase IIb/3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IIb/3 trial; patients within both groups are deemed to have treatment resistant bipolar depression with suicidality. This broader indication may also offer significant advantages in commercialization, while potentially negating the need for a separate NDA for ketamine in suicidal stabilization.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The US population of patients with Suicidal Treatment Resistant Bipolar Depression is estimated to be between 700,000 and 1,000,000 people. </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expect top-line data from this trial in the fourth quarter of 2023.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NRX-101 Indication – Post Traumatic Stress Disorder</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Depression in PTSD may be driven by pathways that are similar to those that drive depression in other conditions (NMDA and 5-HT2A). Additionally, approximately 10% of patients with PTSD may experience suicidality, especially those with severe PTSD.</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preclinical PTSD study, D-cycloserine, a component of NRX-101, demonstrated the ability to extinguish recurring images of traumatic events, also known as fear memory, in a validated WKY model of PTSD.</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Results</w:t>
      </w:r>
    </w:p>
    <w:p>
      <w:pPr>
        <w:pStyle w:val="TextBody"/>
        <w:bidi w:val="0"/>
        <w:spacing w:before="0" w:after="240"/>
        <w:ind w:left="0" w:right="0" w:hanging="0"/>
        <w:jc w:val="both"/>
        <w:rPr>
          <w:color w:val="231F20"/>
        </w:rPr>
      </w:pPr>
      <w:r>
        <w:rPr>
          <w:color w:val="231F20"/>
        </w:rPr>
        <w:t>​</w:t>
      </w:r>
    </w:p>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Since inception, NRx Pharmaceuticals has incurred significant operating losses. For the three months ended June 30, 2023 and 2022, NRx Pharmaceuticals’ net loss was $8.7 million and $7.0 million, respectively. For the six months ended June 30, 2023 and 2022, NRx Pharmaceuticals’ net loss was $19.8 million and $20.4 million, respectively. As of June 30, 2023, NRx Pharmaceuticals had an accumulated deficit of $242.8 million.</w:t>
      </w:r>
    </w:p>
    <w:p>
      <w:pPr>
        <w:pStyle w:val="TextBody"/>
        <w:bidi w:val="0"/>
        <w:spacing w:before="0" w:after="240"/>
        <w:ind w:left="360" w:right="0" w:hanging="0"/>
        <w:jc w:val="both"/>
        <w:rPr>
          <w:color w:val="231F20"/>
        </w:rPr>
      </w:pPr>
      <w:r>
        <w:rPr>
          <w:color w:val="231F20"/>
        </w:rPr>
        <w:t>​</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Components of Results of Operations</w:t>
      </w:r>
    </w:p>
    <w:p>
      <w:pPr>
        <w:pStyle w:val="TextBody"/>
        <w:bidi w:val="0"/>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salaries, stock-based compensation, consultant fees, and professional fees for legal and accounting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Results of operations for the three months ended June 30, 2023 and 2022</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following table sets forth NRx Pharmaceuticals’ selected statements of operations data for the following periods (in thousands):</w:t>
      </w:r>
    </w:p>
    <w:p>
      <w:pPr>
        <w:pStyle w:val="TextBody"/>
        <w:bidi w:val="0"/>
        <w:spacing w:before="0" w:after="0"/>
        <w:ind w:left="0" w:right="0" w:hanging="0"/>
        <w:jc w:val="both"/>
        <w:rPr>
          <w:color w:val="231F20"/>
        </w:rPr>
      </w:pPr>
      <w:r>
        <w:rPr>
          <w:color w:val="231F20"/>
        </w:rPr>
        <w:t>​</w:t>
      </w:r>
    </w:p>
    <w:tbl>
      <w:tblPr>
        <w:tblW w:w="8023" w:type="dxa"/>
        <w:jc w:val="left"/>
        <w:tblInd w:w="0" w:type="dxa"/>
        <w:tblLayout w:type="fixed"/>
        <w:tblCellMar>
          <w:top w:w="0" w:type="dxa"/>
          <w:left w:w="0" w:type="dxa"/>
          <w:bottom w:w="0" w:type="dxa"/>
          <w:right w:w="0" w:type="dxa"/>
        </w:tblCellMar>
      </w:tblPr>
      <w:tblGrid>
        <w:gridCol w:w="4051"/>
        <w:gridCol w:w="326"/>
        <w:gridCol w:w="224"/>
        <w:gridCol w:w="735"/>
        <w:gridCol w:w="346"/>
        <w:gridCol w:w="224"/>
        <w:gridCol w:w="735"/>
        <w:gridCol w:w="326"/>
        <w:gridCol w:w="211"/>
        <w:gridCol w:w="691"/>
        <w:gridCol w:w="154"/>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572385" cy="175260"/>
                      <wp:effectExtent l="0" t="0" r="0" b="0"/>
                      <wp:wrapNone/>
                      <wp:docPr id="175" name="Frame175"/>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2240" cy="175260"/>
                      <wp:effectExtent l="0" t="0" r="0" b="0"/>
                      <wp:wrapNone/>
                      <wp:docPr id="177" name="Frame17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66725" cy="175260"/>
                      <wp:effectExtent l="0" t="0" r="0" b="0"/>
                      <wp:wrapNone/>
                      <wp:docPr id="178" name="Frame178"/>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2240" cy="175260"/>
                      <wp:effectExtent l="0" t="0" r="0" b="0"/>
                      <wp:wrapNone/>
                      <wp:docPr id="180" name="Frame18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66725" cy="175260"/>
                      <wp:effectExtent l="0" t="0" r="0" b="0"/>
                      <wp:wrapNone/>
                      <wp:docPr id="181" name="Frame181"/>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w:t>
            </w:r>
          </w:p>
        </w:tc>
        <w:tc>
          <w:tcPr>
            <w:tcW w:w="154" w:type="dxa"/>
            <w:tcBorders/>
            <w:vAlign w:val="center"/>
          </w:tcPr>
          <w:p>
            <w:pPr>
              <w:pStyle w:val="TableContents"/>
              <w:bidi w:val="0"/>
              <w:spacing w:before="0" w:after="0"/>
              <w:ind w:left="0" w:right="0" w:hanging="0"/>
              <w:jc w:val="left"/>
              <w:rPr/>
            </w:pPr>
            <w:r>
              <w:rPr/>
              <w:t>​</w:t>
            </w:r>
          </w:p>
        </w:tc>
      </w:tr>
      <w:tr>
        <w:trPr/>
        <w:tc>
          <w:tcPr>
            <w:tcW w:w="8023"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4"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73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73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expense</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154"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(8,717)</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olor w:val="231F20"/>
        </w:rPr>
      </w:pPr>
      <w:r>
        <w:rPr>
          <w:color w:val="231F20"/>
        </w:rPr>
        <w:t>​</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Research and development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31F20"/>
          <w:spacing w:val="-6"/>
          <w:sz w:val="20"/>
        </w:rPr>
        <w:t>For the three months ended June 30, 2023, NRx Pharmaceuticals recorded $3.9 million of research and development expenses compared to $3.0 million for the three months ended June 30, 2022. The increase of $0.9 million is related primarily to an increase of $1.3 million in clinical trials and development expenses related to the NRX-101 program for Suicidal Treatment-Resistant Bipolar Depression and $0.1 million</w:t>
      </w:r>
      <w:r>
        <w:rPr>
          <w:rFonts w:ascii="Times New Roman;Times;serif" w:hAnsi="Times New Roman;Times;serif"/>
          <w:color w:val="231F20"/>
          <w:spacing w:val="-6"/>
          <w:sz w:val="20"/>
          <w:shd w:fill="FFFFFF" w:val="clear"/>
        </w:rPr>
        <w:t> in shipping, freight, and delivery costs, partially offset by a decrease of $0.4 million related to fees paid to regulatory and process development consultants, and $0.1 million in stock-based compensation</w:t>
      </w:r>
      <w:r>
        <w:rPr>
          <w:rFonts w:ascii="Times New Roman;Times;serif" w:hAnsi="Times New Roman;Times;serif"/>
          <w:color w:val="231F20"/>
          <w:spacing w:val="-6"/>
          <w:sz w:val="20"/>
        </w:rPr>
        <w:t>. The research and development expenses for the three months ended June 30, 2023 and 2022, respectively, include $0.1 million and $0.2 million, respectively, of non-cash stock-based compensation.</w:t>
      </w:r>
    </w:p>
    <w:p>
      <w:pPr>
        <w:pStyle w:val="TextBody"/>
        <w:bidi w:val="0"/>
        <w:spacing w:before="0" w:after="0"/>
        <w:ind w:left="0" w:right="0" w:hanging="0"/>
        <w:jc w:val="both"/>
        <w:rPr>
          <w:color w:val="231F20"/>
          <w:spacing w:val="-6"/>
        </w:rPr>
      </w:pPr>
      <w:r>
        <w:rPr>
          <w:color w:val="231F20"/>
          <w:spacing w:val="-6"/>
        </w:rPr>
        <w:t>​</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General and administrative expenses</w:t>
      </w:r>
    </w:p>
    <w:p>
      <w:pPr>
        <w:pStyle w:val="TextBody"/>
        <w:bidi w:val="0"/>
        <w:spacing w:lineRule="auto" w:line="292" w:before="0" w:after="240"/>
        <w:ind w:left="0" w:right="0" w:hanging="0"/>
        <w:jc w:val="both"/>
        <w:rPr>
          <w:rFonts w:ascii="Times New Roman;Times;serif" w:hAnsi="Times New Roman;Times;serif"/>
          <w:sz w:val="20"/>
        </w:rPr>
      </w:pPr>
      <w:r>
        <w:rPr>
          <w:rFonts w:ascii="Times New Roman;Times;serif" w:hAnsi="Times New Roman;Times;serif"/>
          <w:color w:val="231F20"/>
          <w:spacing w:val="-6"/>
          <w:sz w:val="20"/>
        </w:rPr>
        <w:t>For the three months ended June 30, 2023, NRx Pharmaceuticals recorded $4.1 million of general and administrative expenses compared to $6.6 million for the six months ended June 30, 2022. The decrease of $2.5 million is related primarily to a decrease of $1.0 million in insurance expenses, $0.7 million in consultant fees, $0.7 million in</w:t>
      </w:r>
      <w:r>
        <w:rPr>
          <w:rFonts w:ascii="Times New Roman;Times;serif" w:hAnsi="Times New Roman;Times;serif"/>
          <w:color w:val="231F20"/>
          <w:spacing w:val="-6"/>
          <w:sz w:val="20"/>
          <w:shd w:fill="FFFFFF" w:val="clear"/>
        </w:rPr>
        <w:t xml:space="preserve"> legal, professional and accounting fees, $0.3 million in stock-based compensation expense, partially offset by an increase in $0.2 million in employee expenses. </w:t>
      </w:r>
      <w:r>
        <w:rPr>
          <w:rFonts w:ascii="Times New Roman;Times;serif" w:hAnsi="Times New Roman;Times;serif"/>
          <w:color w:val="231F20"/>
          <w:spacing w:val="-6"/>
          <w:sz w:val="20"/>
        </w:rPr>
        <w:t>The general and administrative expenses for the three months ended June 30, 2023 and 2022, respectively, include $0.4 million and $0.8 million, respectively, of non-cash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expenses</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Interest income</w:t>
      </w:r>
    </w:p>
    <w:p>
      <w:pPr>
        <w:pStyle w:val="TextBody"/>
        <w:bidi w:val="0"/>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three months ended June 30, 2023, NRx Pharmaceuticals recorded $0.1 million of interest income compared to less than $0.1 of interest income for the three months ended June 30, 2022. The increase of $0.1 million is due to the Company’s money market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2"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Change in fair value of convertible note payable</w:t>
      </w:r>
    </w:p>
    <w:p>
      <w:pPr>
        <w:pStyle w:val="TextBody"/>
        <w:bidi w:val="0"/>
        <w:spacing w:lineRule="auto" w:line="292"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six months ended June 30, 2023, NRx Pharmaceuticals recorded a loss of $0.7 million related to the change in fair value of the convertible note payable which is accounted for under the fair value option.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warrant liabilities </w:t>
      </w:r>
    </w:p>
    <w:p>
      <w:pPr>
        <w:pStyle w:val="TextBody"/>
        <w:bidi w:val="0"/>
        <w:spacing w:lineRule="auto" w:line="292"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three months ended June 30, 2023, NRx Pharmaceuticals recorded a loss of less than $0.1 million in fair value of warrant liabilities compared to a gain of $0.1 million for the three months ended June 30, 2022. The decrease of $0.1 million related to the decrease in the fair value of certain Substitute Warrants and the Private Placement Warrants assumed pursuant to the Merger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earnout cash liability </w:t>
      </w:r>
    </w:p>
    <w:p>
      <w:pPr>
        <w:pStyle w:val="TextBody"/>
        <w:bidi w:val="0"/>
        <w:spacing w:lineRule="auto" w:line="290"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three months ended June 30, 2023, NRx Pharmaceuticals recorded no change in fair value of the earnout cash liability compared to a gain of $2.5 million for the three months ended June 30, 2022. The earnout cash milestones were not achieved by December 31, 2022 and therefore the earnout cash liability expired. The gain for the three months ended June 30, 2022 related to the decrease in fair value of the earnout cash liability.</w:t>
      </w:r>
    </w:p>
    <w:p>
      <w:pPr>
        <w:pStyle w:val="TextBody"/>
        <w:bidi w:val="0"/>
        <w:spacing w:lineRule="auto" w:line="292" w:before="169"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Results of operations for the six months ended June 30, 2023 and 2022</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following table sets forth NRx Pharmaceuticals’ selected statements of operations data for the following periods (in thousands):</w:t>
      </w:r>
    </w:p>
    <w:tbl>
      <w:tblPr>
        <w:tblW w:w="7990" w:type="dxa"/>
        <w:jc w:val="left"/>
        <w:tblInd w:w="0" w:type="dxa"/>
        <w:tblLayout w:type="fixed"/>
        <w:tblCellMar>
          <w:top w:w="0" w:type="dxa"/>
          <w:left w:w="0" w:type="dxa"/>
          <w:bottom w:w="0" w:type="dxa"/>
          <w:right w:w="0" w:type="dxa"/>
        </w:tblCellMar>
      </w:tblPr>
      <w:tblGrid>
        <w:gridCol w:w="4051"/>
        <w:gridCol w:w="326"/>
        <w:gridCol w:w="211"/>
        <w:gridCol w:w="796"/>
        <w:gridCol w:w="326"/>
        <w:gridCol w:w="211"/>
        <w:gridCol w:w="796"/>
        <w:gridCol w:w="326"/>
        <w:gridCol w:w="211"/>
        <w:gridCol w:w="7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572385" cy="175260"/>
                      <wp:effectExtent l="0" t="0" r="0" b="0"/>
                      <wp:wrapNone/>
                      <wp:docPr id="186" name="Frame186"/>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9" name="Frame1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5460" cy="175260"/>
                      <wp:effectExtent l="0" t="0" r="0" b="0"/>
                      <wp:wrapNone/>
                      <wp:docPr id="192" name="Frame1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67360" cy="175260"/>
                      <wp:effectExtent l="0" t="0" r="0" b="0"/>
                      <wp:wrapNone/>
                      <wp:docPr id="195" name="Frame19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w:t>
            </w:r>
          </w:p>
        </w:tc>
      </w:tr>
      <w:tr>
        <w:trPr/>
        <w:tc>
          <w:tcPr>
            <w:tcW w:w="79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(7,014)</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7,682</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Cash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674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Operating expenses</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Research and development expenses</w:t>
      </w:r>
    </w:p>
    <w:p>
      <w:pPr>
        <w:pStyle w:val="TextBody"/>
        <w:bidi w:val="0"/>
        <w:spacing w:lineRule="auto" w:line="292" w:before="169" w:after="0"/>
        <w:ind w:left="0" w:right="0" w:hanging="0"/>
        <w:jc w:val="both"/>
        <w:rPr>
          <w:rFonts w:ascii="Times New Roman;Times;serif" w:hAnsi="Times New Roman;Times;serif"/>
          <w:color w:val="231F20"/>
          <w:spacing w:val="-6"/>
          <w:sz w:val="20"/>
        </w:rPr>
      </w:pPr>
      <w:r>
        <w:rPr>
          <w:rFonts w:ascii="Times New Roman;Times;serif" w:hAnsi="Times New Roman;Times;serif"/>
          <w:color w:val="231F20"/>
          <w:spacing w:val="-6"/>
          <w:sz w:val="20"/>
        </w:rPr>
        <w:t xml:space="preserve">For the six months ended June 30, 2023, NRx Pharmaceuticals recorded $7.5 million of research and development expenses compared to $8.4 million for the six months ended June 30, 2022. The decrease of $0.9 million is related primarily to a decrease of $0.6 million in clinical trials and development expenses related to ZYESAMI, $0.5 million related to fees paid to regulatory and process development consultants, $0.2 million in stock-based compensation, partially offset by an increase in $0.2 million in other regulatory and process development costs and $0.2 million in shipping, freight, and delivery costs. The research and development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2" w:before="0" w:after="240"/>
        <w:ind w:left="0" w:right="0" w:hanging="0"/>
        <w:jc w:val="both"/>
        <w:rPr>
          <w:rFonts w:ascii="Times New Roman;Times;serif" w:hAnsi="Times New Roman;Times;serif"/>
          <w:color w:val="231F20"/>
          <w:spacing w:val="-6"/>
          <w:sz w:val="20"/>
        </w:rPr>
      </w:pPr>
      <w:r>
        <w:rPr>
          <w:rFonts w:ascii="Times New Roman;Times;serif" w:hAnsi="Times New Roman;Times;serif"/>
          <w:color w:val="231F20"/>
          <w:spacing w:val="-6"/>
          <w:sz w:val="20"/>
        </w:rPr>
        <w:t>expenses for the six months ended June 30, 2023 and 2022, respectively, include $0.2 million and $0.4 million, respectively, of non-cash stock-based compensation.</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General and administrative expenses</w:t>
      </w:r>
    </w:p>
    <w:p>
      <w:pPr>
        <w:pStyle w:val="TextBody"/>
        <w:bidi w:val="0"/>
        <w:spacing w:lineRule="auto" w:line="292" w:before="169" w:after="240"/>
        <w:ind w:left="0" w:right="0" w:hanging="0"/>
        <w:jc w:val="both"/>
        <w:rPr>
          <w:rFonts w:ascii="Times New Roman;Times;serif" w:hAnsi="Times New Roman;Times;serif"/>
          <w:sz w:val="20"/>
        </w:rPr>
      </w:pPr>
      <w:r>
        <w:rPr>
          <w:rFonts w:ascii="Times New Roman;Times;serif" w:hAnsi="Times New Roman;Times;serif"/>
          <w:color w:val="231F20"/>
          <w:spacing w:val="-6"/>
          <w:sz w:val="20"/>
        </w:rPr>
        <w:t>For the six months ended June 30, 2023, NRx Pharmaceuticals recorded $9.9 million of general and administrative expenses compared to $16.9 million for the six months ended June 30, 2022. The decrease of $7.0 million is related primarily to a decrease of $4.6 million in</w:t>
      </w:r>
      <w:r>
        <w:rPr>
          <w:rFonts w:ascii="Times New Roman;Times;serif" w:hAnsi="Times New Roman;Times;serif"/>
          <w:color w:val="231F20"/>
          <w:spacing w:val="-6"/>
          <w:sz w:val="20"/>
          <w:shd w:fill="FFFFFF" w:val="clear"/>
        </w:rPr>
        <w:t xml:space="preserve"> legal, professional and accounting fees, $1.6 million in insurance expenses, $0.9 million in stock-based compensation expense, $0.4 million in consultant fees, partially offset by an increase in $0.5 million in employee expenses. </w:t>
      </w:r>
      <w:r>
        <w:rPr>
          <w:rFonts w:ascii="Times New Roman;Times;serif" w:hAnsi="Times New Roman;Times;serif"/>
          <w:color w:val="231F20"/>
          <w:spacing w:val="-6"/>
          <w:sz w:val="20"/>
        </w:rPr>
        <w:t>The general and administrative expenses for the six months ended June 30, 2023 and 2022, respectively, include $1.0 million and $1.9 million, respectively, of non-cash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expenses</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Interest income</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For the six months ended June 30, 2023, NRx Pharmaceuticals recorded $0.3 million of interest income compared to less than $0.1 of interest income for the six months ended June 30, 2022. The increase of $0.3 million is due to the Company’s money market account.</w:t>
      </w:r>
    </w:p>
    <w:p>
      <w:pPr>
        <w:pStyle w:val="TextBody"/>
        <w:bidi w:val="0"/>
        <w:spacing w:lineRule="auto" w:line="292" w:before="169"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Change in fair value of convertible note payable</w:t>
      </w:r>
    </w:p>
    <w:p>
      <w:pPr>
        <w:pStyle w:val="TextBody"/>
        <w:bidi w:val="0"/>
        <w:spacing w:lineRule="auto" w:line="292"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six months ended June 30, 2023, NRx Pharmaceuticals recorded a loss of $2.4 million related to the change in fair value of the convertible note payable which is accounted for under the fair value option.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warrant liabilities </w:t>
      </w:r>
    </w:p>
    <w:p>
      <w:pPr>
        <w:pStyle w:val="TextBody"/>
        <w:bidi w:val="0"/>
        <w:spacing w:lineRule="auto" w:line="292"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six months ended June 30, 2023, NRx Pharmaceuticals recorded a gain of less than $0.1 million related to the change in fair value of the warrant liabilities compared to a gain of $0.3 million for the six months ended June 30, 2022. The decrease of $0.3 million related to the decrease in the fair value of certain Substitute Warrants and the Placement Warrants assumed pursuant to the Merger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Change in fair value of earnout cash liability </w:t>
      </w:r>
    </w:p>
    <w:p>
      <w:pPr>
        <w:pStyle w:val="TextBody"/>
        <w:bidi w:val="0"/>
        <w:spacing w:lineRule="auto" w:line="290" w:before="169" w:after="240"/>
        <w:ind w:left="0" w:right="0" w:hanging="0"/>
        <w:jc w:val="both"/>
        <w:rPr>
          <w:rFonts w:ascii="Times New Roman;Times;serif" w:hAnsi="Times New Roman;Times;serif"/>
          <w:color w:val="231F20"/>
          <w:sz w:val="20"/>
          <w:shd w:fill="FFFFFF" w:val="clear"/>
        </w:rPr>
      </w:pPr>
      <w:r>
        <w:rPr>
          <w:rFonts w:ascii="Times New Roman;Times;serif" w:hAnsi="Times New Roman;Times;serif"/>
          <w:color w:val="231F20"/>
          <w:sz w:val="20"/>
          <w:shd w:fill="FFFFFF" w:val="clear"/>
        </w:rPr>
        <w:t>For the six months ended June 30, 2023, NRx Pharmaceuticals recorded no change in fair value of the earnout cash liability compared to a gain of $4.6 million for the six months ended June 30, 2022. The earnout cash milestones were not achieved by December 31, 2022 and therefore the earnout cash liability expired. The gain for the six months ended June 30, 2022 related to the decrease in fair value of the earnout cash liability.</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Liquidity and Capital Resources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on acceptable terms or at all. This could negatively impact NRx Pharmaceuticals' business and operations and could also lead to the reduction of NRx Pharmaceuticals'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8, 2023, NRx Pharmaceuticals entered into a securities purchase agreement  with certain accredited investors (the “March Investors”), providing for the issuance and sale of 3,866,666 shares of the Company’s common stock (“Common Stock”) and warrants to purchase up to 3,866,666 shares of Common Stock (the “March Investor Warrants”) in a registered direct offering priced at-the-market under Nasdaq rules for a purchase price of $0.75 per share (the “March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Offering”). The March Investors have agreed not to transfer the Common Stock for six months following the date of issuance. The March Investor Warrants have an exercise price of $0.75 per share,  are initially exercisable beginning six months following the date of issuance (the “March Initial Exercise Date”) and will expire 5 years from the March Initial Exercise Date. The aggregate gross proceeds to the Company from the March Offering were approximately $2.9 million. The Company intends to use the net proceeds from such offering for working capital and general corporate purposes. The closing of the sale of these securities occurred on March 9,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2, 2023, the Company entered into a License Agreement </w:t>
      </w:r>
      <w:r>
        <w:rPr>
          <w:rFonts w:ascii="Times New Roman;Times;serif" w:hAnsi="Times New Roman;Times;serif"/>
          <w:sz w:val="20"/>
          <w:shd w:fill="FFFFFF" w:val="clear"/>
        </w:rPr>
        <w:t xml:space="preserve">(the “License Agreement”) with Alvogen Pharma US, Inc., Alvogen, Inc. and Lotus Pharmaceutical Co. Ltd. (collectively, “Alvogen”). </w:t>
      </w:r>
      <w:r>
        <w:rPr>
          <w:rFonts w:ascii="Times New Roman;Times;serif" w:hAnsi="Times New Roman;Times;serif"/>
          <w:sz w:val="20"/>
        </w:rPr>
        <w:t>Under the License Agreement, NRx granted Alvogen an exclusive, worldwide, transferable and sublicensable license under certain intellectual property (including 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have agreed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pStyle w:val="TextBody"/>
        <w:shd w:fill="FFFFFF" w:val="clear"/>
        <w:bidi w:val="0"/>
        <w:spacing w:before="0" w:after="0"/>
        <w:ind w:left="0" w:right="0" w:firstLine="72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terms of the License Agreement, we have the right to an aggregate of up to $330 million in cash milestone payments, including an initial $10 million First Milestone Payment, upon the achievement of certain milestones. A second milestone payment of $5 million is due upon Alvogen’s receipt of a copy of the FDA’s notice of NDA Approval for Product with the label indication for the treatment of bipolar depression with sub-acute or acute suicidality. Additional cash milestone payments will become payable to us upon the achievement of net sales targets measured over the trailing four quarters. Alvogen has also agreed to pay the Company royalties based on the net sales of NRX-101.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6, 2023, the Company entered into a securities purchase agreement with institutional investors (the “June Investors”), providing for the issuance and sale of 9,670,002 shares of the Company’s Common Stock and warrants to purchase up to 9,670,002 shares of Common Stock (the “June Investor Warrants”). The Common Stock was issued in a registered direct offering for a purchase price of $0.65 per share (the “June Offering”) and the June Investor Warrants were offered pursuant to a private placement under Section 4(a)(2) of the Securities Act. The June Investor Warrants have an exercise price of $0.6525 per share, are initially exercisable beginning six months following the date of issuance (the “June Initial Exercise Date”) and will expire five and one half years from the date of issuance. The aggregate net proceeds to the Company from the June Offering were approximately $6.28 million. The Company intends to use the net proceeds from the June offering for working capital and general corporate purposes. </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NRx Pharmaceuticals believes that it does not currently have sufficient funds and, if necessary, the ability to reduce expenditures, to support operations through at least the next twelve months from the date of this quarterly report. NRx Pharmaceuticals is dependent upon obtaining necessary equity and/or debt financing to continue operating. NRx Pharmaceuticals cannot make any assurances that additional financing will be available to it on acceptable terms or at all. This could negatively affect the Company’s business and operations and could also lead to the reduction of the Company's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2"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following table presents selected financial information and statistics for each of the periods shown below:</w:t>
      </w:r>
    </w:p>
    <w:tbl>
      <w:tblPr>
        <w:tblW w:w="7195" w:type="dxa"/>
        <w:jc w:val="left"/>
        <w:tblInd w:w="0" w:type="dxa"/>
        <w:tblLayout w:type="fixed"/>
        <w:tblCellMar>
          <w:top w:w="0" w:type="dxa"/>
          <w:left w:w="0" w:type="dxa"/>
          <w:bottom w:w="0" w:type="dxa"/>
          <w:right w:w="0" w:type="dxa"/>
        </w:tblCellMar>
      </w:tblPr>
      <w:tblGrid>
        <w:gridCol w:w="3466"/>
        <w:gridCol w:w="326"/>
        <w:gridCol w:w="211"/>
        <w:gridCol w:w="1096"/>
        <w:gridCol w:w="326"/>
        <w:gridCol w:w="355"/>
        <w:gridCol w:w="1415"/>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200910" cy="175260"/>
                      <wp:effectExtent l="0" t="0" r="0" b="0"/>
                      <wp:wrapNone/>
                      <wp:docPr id="196" name="Frame19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5960" cy="175260"/>
                      <wp:effectExtent l="0" t="0" r="0" b="0"/>
                      <wp:wrapNone/>
                      <wp:docPr id="199" name="Frame19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5425" cy="175260"/>
                      <wp:effectExtent l="0" t="0" r="0" b="0"/>
                      <wp:wrapNone/>
                      <wp:docPr id="201" name="Frame20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98525" cy="175260"/>
                      <wp:effectExtent l="0" t="0" r="0" b="0"/>
                      <wp:wrapNone/>
                      <wp:docPr id="202" name="Frame202"/>
                      <a:graphic xmlns:a="http://schemas.openxmlformats.org/drawingml/2006/main">
                        <a:graphicData uri="http://schemas.microsoft.com/office/word/2010/wordprocessingShape">
                          <wps:wsp>
                            <wps:cNvSpPr txBox="1"/>
                            <wps:spPr>
                              <a:xfrm>
                                <a:off x="0" y="0"/>
                                <a:ext cx="898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03" w:type="dxa"/>
            <w:gridSpan w:val="5"/>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tc>
        <w:tc>
          <w:tcPr>
            <w:tcW w:w="326" w:type="dxa"/>
            <w:tcBorders/>
            <w:vAlign w:val="center"/>
          </w:tcPr>
          <w:p>
            <w:pPr>
              <w:pStyle w:val="TableContents"/>
              <w:bidi w:val="0"/>
              <w:spacing w:before="0" w:after="0"/>
              <w:ind w:left="0" w:right="0" w:hanging="0"/>
              <w:jc w:val="center"/>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Sheet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14,969</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19,809</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 payable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12,692</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center"/>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22,617</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 equity</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w:t>
            </w:r>
          </w:p>
        </w:tc>
        <w:tc>
          <w:tcPr>
            <w:tcW w:w="326" w:type="dxa"/>
            <w:tcBorders/>
            <w:vAlign w:val="center"/>
          </w:tcPr>
          <w:p>
            <w:pPr>
              <w:pStyle w:val="TableContents"/>
              <w:bidi w:val="0"/>
              <w:spacing w:before="0" w:after="0"/>
              <w:ind w:left="0" w:right="0" w:hanging="0"/>
              <w:jc w:val="center"/>
              <w:rPr/>
            </w:pPr>
            <w:r>
              <w:rPr/>
              <w:t>​</w:t>
            </w:r>
          </w:p>
        </w:tc>
        <w:tc>
          <w:tcPr>
            <w:tcW w:w="355" w:type="dxa"/>
            <w:tcBorders/>
            <w:vAlign w:val="center"/>
          </w:tcPr>
          <w:p>
            <w:pPr>
              <w:pStyle w:val="TableContents"/>
              <w:bidi w:val="0"/>
              <w:spacing w:before="0" w:after="0"/>
              <w:ind w:left="0" w:right="0" w:hanging="0"/>
              <w:jc w:val="center"/>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7,409</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1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19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192" w:type="dxa"/>
            <w:gridSpan w:val="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Cash Flow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1415" w:type="dxa"/>
            <w:tcBorders/>
            <w:shd w:fill="CCEEFF" w:val="clear"/>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(13,901)</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8,818</w:t>
            </w:r>
          </w:p>
        </w:tc>
        <w:tc>
          <w:tcPr>
            <w:tcW w:w="326"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Operating activities</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six months ended June 30, 2023, operating activities used $13.9 million of cash, primarily resulting from a net loss of $19.8 million, reduced by (a) net non-cash losses of $3.9 million, including $2.4 million in change in fair value of convertible promissory note and $1.2 million of stock-based compensation, and (b) changes in operating assets and liabilities of $1.9 million.</w:t>
      </w:r>
    </w:p>
    <w:p>
      <w:pPr>
        <w:pStyle w:val="TextBody"/>
        <w:bidi w:val="0"/>
        <w:spacing w:lineRule="auto" w:line="292" w:before="169"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six months ended June 30, 2022, operating activities used $25.2 million of cash, primarily resulting from a net loss of $20.4 million, increased by net non-cash gains of $2.5 million, including $4.6 million of gain from the change in fair value of earn out liability and $0.3 million of gain from the change in fair value of warrant liabilities, partially offset by $2.3 million of stock-based compensation expense, and an increase in net operating assets of $2.2 million.</w:t>
      </w:r>
    </w:p>
    <w:p>
      <w:pPr>
        <w:pStyle w:val="TextBody"/>
        <w:bidi w:val="0"/>
        <w:spacing w:lineRule="auto" w:line="292" w:before="169"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Financing activities</w:t>
      </w:r>
    </w:p>
    <w:p>
      <w:pPr>
        <w:pStyle w:val="TextBody"/>
        <w:bidi w:val="0"/>
        <w:spacing w:lineRule="auto" w:line="292" w:before="169"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During the six months ended June 30, 2023, financing activities provided $8.8 million of cash resulting from $8.1 million in proceeds from issuance of common stock and warrants issued in a private placement, net of issuance costs.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six months ended June 30, 2022, financing activities provided $22.1 million of cash resulting from $22.6 million in net proceeds received by the Company from the issuance of common stock and preferred investment options in a private placement partially offset by $0.5 million of repayment of the loan between the Company and Relief Therapeutics Holding S.A.</w:t>
      </w:r>
    </w:p>
    <w:p>
      <w:pPr>
        <w:pStyle w:val="TextBody"/>
        <w:bidi w:val="0"/>
        <w:spacing w:before="0" w:after="240"/>
        <w:ind w:left="0" w:right="0" w:hanging="0"/>
        <w:jc w:val="both"/>
        <w:rPr>
          <w:rFonts w:ascii="Times New Roman;Times;serif" w:hAnsi="Times New Roman;Times;serif"/>
          <w:b/>
          <w:color w:val="231F20"/>
          <w:sz w:val="20"/>
        </w:rPr>
      </w:pPr>
      <w:r>
        <w:rPr>
          <w:rFonts w:ascii="Times New Roman;Times;serif" w:hAnsi="Times New Roman;Times;serif"/>
          <w:b/>
          <w:color w:val="231F20"/>
          <w:sz w:val="20"/>
        </w:rPr>
        <w:t>Contractual Obligations and Commitments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See Note 7, Debt, and Note 8, Commitments and Contingencies, of the notes to the Company’s unaudited condensed consolidated financial statements as of and for the three months ended </w:t>
      </w:r>
      <w:r>
        <w:rPr>
          <w:rFonts w:ascii="Times New Roman;Times;serif" w:hAnsi="Times New Roman;Times;serif"/>
          <w:color w:val="231F20"/>
          <w:sz w:val="20"/>
        </w:rPr>
        <w:t>June 30</w:t>
      </w:r>
      <w:r>
        <w:rPr>
          <w:rFonts w:ascii="Times New Roman;Times;serif" w:hAnsi="Times New Roman;Times;serif"/>
          <w:sz w:val="20"/>
        </w:rPr>
        <w:t>, 2023 included elsewhere in this report for further discussion of the Company’s commitments and contingencies.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Milestone Payments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is not party to any off-balance sheet transactions. The Company has no guarantees or obligations other than those which arise out of normal business operations.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bidi w:val="0"/>
        <w:spacing w:lineRule="auto" w:line="288" w:before="0" w:after="240"/>
        <w:ind w:left="0" w:right="0" w:hanging="0"/>
        <w:jc w:val="both"/>
        <w:rPr>
          <w:rFonts w:ascii="Times New Roman;Times;serif" w:hAnsi="Times New Roman;Times;serif"/>
          <w:sz w:val="20"/>
        </w:rPr>
      </w:pPr>
      <w:r>
        <w:rPr>
          <w:rFonts w:ascii="Times New Roman;Times;serif" w:hAnsi="Times New Roman;Times;serif"/>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Convertible note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830" w:name="Item3QuantitativeandQualitativeDisclosur"/>
      <w:bookmarkStart w:id="831" w:name="_83ef53c6_3f58_47ff_945a_6d471e3d04ad"/>
      <w:bookmarkEnd w:id="830"/>
      <w:bookmarkEnd w:id="831"/>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832" w:name="Item4ControlsandProcedures"/>
      <w:bookmarkStart w:id="833" w:name="_68d53b92_67a3_4b09_91fa_85434f1bfa01"/>
      <w:bookmarkEnd w:id="832"/>
      <w:bookmarkEnd w:id="833"/>
      <w:r>
        <w:rPr>
          <w:rFonts w:ascii="Times New Roman;Times;serif" w:hAnsi="Times New Roman;Times;serif"/>
          <w:b/>
          <w:sz w:val="20"/>
        </w:rPr>
        <w:t>Item 4. Controls and Procedures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w:t>
      </w:r>
      <w:r>
        <w:rPr>
          <w:rFonts w:ascii="Times New Roman;Times;serif" w:hAnsi="Times New Roman;Times;serif"/>
          <w:color w:val="231F20"/>
          <w:sz w:val="20"/>
        </w:rPr>
        <w:t>June 30</w:t>
      </w:r>
      <w:r>
        <w:rPr>
          <w:rFonts w:ascii="Times New Roman;Times;serif" w:hAnsi="Times New Roman;Times;serif"/>
          <w:sz w:val="20"/>
        </w:rPr>
        <w:t>, 2023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that evaluation, our Chief Executive Officer and Chief Financial Officer concluded that our disclosure controls and procedures were effective as of </w:t>
      </w:r>
      <w:r>
        <w:rPr>
          <w:rFonts w:ascii="Times New Roman;Times;serif" w:hAnsi="Times New Roman;Times;serif"/>
          <w:color w:val="231F20"/>
          <w:sz w:val="20"/>
        </w:rPr>
        <w:t>June 30</w:t>
      </w:r>
      <w:r>
        <w:rPr>
          <w:rFonts w:ascii="Times New Roman;Times;serif" w:hAnsi="Times New Roman;Times;serif"/>
          <w:sz w:val="20"/>
        </w:rPr>
        <w:t>, 2023 in providing reasonable assurance of achieving the desired control objectives.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 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were no changes in the Company’s internal controls over financial reporting that occurred during the three months ended </w:t>
      </w:r>
      <w:r>
        <w:rPr>
          <w:rFonts w:ascii="Times New Roman;Times;serif" w:hAnsi="Times New Roman;Times;serif"/>
          <w:color w:val="231F20"/>
          <w:sz w:val="20"/>
        </w:rPr>
        <w:t>June 30</w:t>
      </w:r>
      <w:r>
        <w:rPr>
          <w:rFonts w:ascii="Times New Roman;Times;serif" w:hAnsi="Times New Roman;Times;serif"/>
          <w:sz w:val="20"/>
        </w:rPr>
        <w:t xml:space="preserve">, 2023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 </w:t>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b/>
          <w:sz w:val="20"/>
        </w:rPr>
      </w:pPr>
      <w:bookmarkStart w:id="834" w:name="PARTII"/>
      <w:bookmarkStart w:id="835" w:name="_1e8e29c7_3256_420d_a2c3_fd62bc8e57a4"/>
      <w:bookmarkEnd w:id="834"/>
      <w:bookmarkEnd w:id="835"/>
      <w:r>
        <w:rPr>
          <w:rFonts w:ascii="Times New Roman;Times;serif" w:hAnsi="Times New Roman;Times;serif"/>
          <w:b/>
          <w:sz w:val="20"/>
        </w:rPr>
        <w:t>PART II – OTHER INFORMATION</w:t>
      </w:r>
    </w:p>
    <w:p>
      <w:pPr>
        <w:pStyle w:val="TextBody"/>
        <w:bidi w:val="0"/>
        <w:spacing w:before="0" w:after="160"/>
        <w:ind w:left="0" w:right="0" w:hanging="0"/>
        <w:jc w:val="left"/>
        <w:rPr>
          <w:rFonts w:ascii="Times New Roman;Times;serif" w:hAnsi="Times New Roman;Times;serif"/>
          <w:b/>
          <w:sz w:val="20"/>
        </w:rPr>
      </w:pPr>
      <w:bookmarkStart w:id="836" w:name="Item3LegalProceedings_886745"/>
      <w:bookmarkEnd w:id="836"/>
      <w:r>
        <w:rPr>
          <w:rFonts w:ascii="Times New Roman;Times;serif" w:hAnsi="Times New Roman;Times;serif"/>
          <w:b/>
          <w:sz w:val="20"/>
        </w:rPr>
        <w:t>Item 1. Legal Proceedings.</w:t>
      </w:r>
    </w:p>
    <w:p>
      <w:pPr>
        <w:pStyle w:val="TextBody"/>
        <w:bidi w:val="0"/>
        <w:spacing w:lineRule="auto" w:line="288" w:before="169" w:after="240"/>
        <w:ind w:left="0" w:right="0" w:hanging="0"/>
        <w:jc w:val="both"/>
        <w:rPr>
          <w:rFonts w:ascii="Times New Roman;Times;serif" w:hAnsi="Times New Roman;Times;serif"/>
          <w:sz w:val="20"/>
        </w:rPr>
      </w:pPr>
      <w:r>
        <w:rPr>
          <w:rFonts w:ascii="Times New Roman;Times;serif" w:hAnsi="Times New Roman;Times;serif"/>
          <w:sz w:val="20"/>
        </w:rPr>
        <w:t xml:space="preserve">See Note 8, Commitments and Contingencies, of the notes to the Company’s unaudited condensed consolidated financial statements as of and for the three months ended </w:t>
      </w:r>
      <w:r>
        <w:rPr>
          <w:rFonts w:ascii="Times New Roman;Times;serif" w:hAnsi="Times New Roman;Times;serif"/>
          <w:color w:val="231F20"/>
          <w:sz w:val="20"/>
        </w:rPr>
        <w:t>June 30</w:t>
      </w:r>
      <w:r>
        <w:rPr>
          <w:rFonts w:ascii="Times New Roman;Times;serif" w:hAnsi="Times New Roman;Times;serif"/>
          <w:sz w:val="20"/>
        </w:rPr>
        <w:t>, 2023 included elsewhere in this report for further discussion of certain legal proceedings in which we are involved.</w:t>
      </w:r>
    </w:p>
    <w:p>
      <w:pPr>
        <w:pStyle w:val="TextBody"/>
        <w:pBdr/>
        <w:bidi w:val="0"/>
        <w:spacing w:before="0" w:after="0"/>
        <w:ind w:left="0" w:right="0" w:hanging="720"/>
        <w:jc w:val="both"/>
        <w:rPr>
          <w:rFonts w:ascii="Times New Roman;Times;serif" w:hAnsi="Times New Roman;Times;serif"/>
          <w:b/>
          <w:sz w:val="20"/>
        </w:rPr>
      </w:pPr>
      <w:bookmarkStart w:id="837" w:name="Item1A_RiskFactors"/>
      <w:bookmarkStart w:id="838" w:name="_c5b61d17_680b_49db_9e72_c4c95a6bf63c"/>
      <w:bookmarkEnd w:id="837"/>
      <w:bookmarkEnd w:id="838"/>
      <w:r>
        <w:rPr>
          <w:rFonts w:ascii="Times New Roman;Times;serif" w:hAnsi="Times New Roman;Times;serif"/>
          <w:b/>
          <w:sz w:val="20"/>
        </w:rPr>
        <w:t>Item 1A. Risk Factors</w:t>
      </w:r>
    </w:p>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disclosed the risk factors that materially affect our business, financial condition or results of operations under the heading “Risk Factors” in our Annual Report on Form 10-K for the year ended December 31, 2022 filed with the SEC on June 30, 2023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 In addition to the risk factors detailed above, the following risk factors should also be considered:</w:t>
      </w:r>
    </w:p>
    <w:p>
      <w:pPr>
        <w:pStyle w:val="TextBody"/>
        <w:bidi w:val="0"/>
        <w:spacing w:before="0" w:after="0"/>
        <w:ind w:left="0" w:right="0" w:hanging="0"/>
        <w:jc w:val="both"/>
        <w:rPr/>
      </w:pPr>
      <w:r>
        <w:rPr/>
        <w:t>​</w:t>
      </w:r>
    </w:p>
    <w:tbl>
      <w:tblPr>
        <w:tblW w:w="316" w:type="dxa"/>
        <w:jc w:val="left"/>
        <w:tblInd w:w="0" w:type="dxa"/>
        <w:tblLayout w:type="fixed"/>
        <w:tblCellMar>
          <w:top w:w="0" w:type="dxa"/>
          <w:left w:w="0" w:type="dxa"/>
          <w:bottom w:w="0" w:type="dxa"/>
          <w:right w:w="0" w:type="dxa"/>
        </w:tblCellMar>
      </w:tblPr>
      <w:tblGrid>
        <w:gridCol w:w="316"/>
      </w:tblGrid>
      <w:tr>
        <w:trPr/>
        <w:tc>
          <w:tcPr>
            <w:tcW w:w="316"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 from our independent registered public accounting firm on our consolidated financial statements for the years ended December 31, 2022 and 2021 includes an explanatory paragraph that expresses substantial doubt about our ability to continue as a going concern, indicating the possibility that we may not be able to operate in the future.</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Primarily as a result of our losses incurred to date, our expected continued future losses, and limited cash balances, we have included disclosure in our consolidated financial statements expressing substantial doubt about our ability to continue as a going concern. We do not have sufficient cash on hand and available liquidity to meet our obligations through the twelve months following the date the consolidated financial statements were issued. In the absence of financing, management anticipates that existing cash resources will not be sufficient to meet operating and liquidity needs for the next 12 months. Our ability to continue as a going concern is contingent upon, among other factors, the sale of the shares of our Common Stock or obtaining alternate financing. Any failure or delay to secure such financing could force us to delay, limit or terminate our operations, make reductions in our workforce, liquidate all or a portion of our assets and/or seek protection under Chapters 7 or 11 of the United States Bankruptcy Code.</w:t>
      </w:r>
    </w:p>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contractual obligations and limitations on our ability to consummate future financings under the Promissory Note issued by us to Streeterville Capital, LLC on November 4, 2022, as amended on July 7, 2023.</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Pursuant to the securities purchase agreement we entered into in connection with the issuance of the Note to Streeterville Capital, LLC, we are subject to certain restrictions on our ability to issue securities during the term of the Note. Specifically, we agreed to obtain the Lender’s consent prior to issuing any debt securities or certain equity securities where the pricing of such equity securities is tied to the public trading price of our common stock. Furthermore, we also must offer the Lender the right to purchase up to 10% of future equity and debt securities offerings, subject to certain exceptions and limitations, during the term of the Note.</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Further, we have agreed to make certain monthly redemption payments at the request of the Lender. Our failure to pay such redemptions, when due, may result in defaults under our agreements with the Lender. If we are in default with respect to our obligations under the Note, the Lender may consider the Note immediately due and payable and may elect to substantially increase the interest rate of the Note. We may not have the required funds to pay the required note redemptions and such redemptions, or penalties in connection therewith, may have an adverse effect on our cash flows, results of operations, and ability to pay our other debts as they come due. </w:t>
      </w:r>
    </w:p>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fail to meet the applicable continued listing requirements of NASDAQ Global Market, NASDAQ may delist our common stock, in which case the liquidity and market price of our Common Stock could decline. </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Our common stock is currently listed on the NASDAQ Global Market. In order to maintain that listing, we must satisfy certain continued listing requirements. including the requirement that our Common Stock maintain an average minimum bid price of $1.00. In the past, we have received a deficiency letter from Nasdaq for failing to maintain a minimum bid price of $1.00, but we have since regained compliance. On July 20, 2023, we received a written notification (the “Notice”) from Nasdaq indicating that we were not in compliance with Nasdaq Listing Rule 5450(b)(2)(A) – Market Value of Listed Securities (“MVLS”) because we had not maintained a minimum MVLS of $50,000,000 for the previous 33 consecutive business days. We have been provided an initial compliance period of 180 calendar days, or until January 22, 2024, to regain compliance with the MVLS requirement. To regain compliance, our MVLS must meet or exceed $50,000,000 for a minimum period of ten consecutive business days prior to January 22, 2024. If we are deficient in regaining compliance with and otherwise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involved in and may from time to time become involved in legal proceedings, some of which may result in substantial losses, government enforcement actions, damage to our business and reputation, or place a strain on our internal resources.</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We are currently involved in, and in the future may become involved in, legal proceedings and other governmental investigations including patent litigation, product liability and other product-related litigation, securities litigation, employment litigation, breach of contract claims, environmental, government and tax investigations, and other legal proceedings that arise from time to time as a party or as a non-party witness, with both private parties and certain government agencies. We may incur substantial time and expenses participating in these types of lawsuits and investigations, which could divert management’s attention from ongoing business concerns and operations. In addition, these matters and any other substantial litigation may result in verdicts against us or our affiliates or government enforcement actions, which may include significant monetary penalties, potentially preventing the approval, manufacture, marketing and sale of our product candidates. Any dispute resolved unfavorably could have a material adverse effect on our business, financial position, and operating results. </w:t>
      </w:r>
    </w:p>
    <w:p>
      <w:pPr>
        <w:pStyle w:val="TextBody"/>
        <w:bidi w:val="0"/>
        <w:spacing w:before="0" w:after="0"/>
        <w:ind w:left="720" w:right="0" w:hanging="0"/>
        <w:jc w:val="both"/>
        <w:rPr/>
      </w:pPr>
      <w:r>
        <w:rPr/>
        <w:t>​</w:t>
      </w:r>
    </w:p>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9" w:name="Item2UnregisteredSalesofEquitySecurities"/>
      <w:bookmarkStart w:id="840" w:name="_fd6da893_45aa_4f9a_8818_595512e74172"/>
      <w:bookmarkEnd w:id="839"/>
      <w:bookmarkEnd w:id="840"/>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41" w:name="Item3DefaultsUponSeniorSecurities"/>
      <w:bookmarkStart w:id="842" w:name="_8c609258_4796_466f_9ebc_1bc908508057"/>
      <w:bookmarkEnd w:id="841"/>
      <w:bookmarkEnd w:id="842"/>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92" w:before="0" w:after="240"/>
        <w:ind w:left="0" w:right="0" w:firstLine="399"/>
        <w:jc w:val="left"/>
        <w:rPr/>
      </w:pPr>
      <w:r>
        <w:rPr/>
        <w:t>​</w:t>
      </w:r>
    </w:p>
    <w:p>
      <w:pPr>
        <w:pStyle w:val="TextBody"/>
        <w:bidi w:val="0"/>
        <w:spacing w:before="0" w:after="240"/>
        <w:ind w:left="0" w:right="0" w:hanging="0"/>
        <w:jc w:val="left"/>
        <w:rPr>
          <w:rFonts w:ascii="Times New Roman;Times;serif" w:hAnsi="Times New Roman;Times;serif"/>
          <w:b/>
          <w:sz w:val="20"/>
        </w:rPr>
      </w:pPr>
      <w:bookmarkStart w:id="843" w:name="Item4_MineSafetyDisclosures"/>
      <w:bookmarkStart w:id="844" w:name="_aa95477e_968e_4981_83ef_92f9ae9fe392"/>
      <w:bookmarkEnd w:id="843"/>
      <w:bookmarkEnd w:id="844"/>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b/>
          <w:sz w:val="20"/>
        </w:rPr>
      </w:pPr>
      <w:bookmarkStart w:id="845" w:name="Item9BOtherInformation_623343"/>
      <w:bookmarkStart w:id="846" w:name="_36eb686f_2627_4dc4_a040_401102c02805"/>
      <w:bookmarkEnd w:id="845"/>
      <w:bookmarkEnd w:id="846"/>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bookmarkStart w:id="847" w:name="Item15Exhibits_Financial_Statement"/>
      <w:bookmarkStart w:id="848" w:name="_18ef674e_3bf5_4043_b5f6_f40c23858c13"/>
      <w:bookmarkEnd w:id="847"/>
      <w:bookmarkEnd w:id="848"/>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28" w:type="dxa"/>
          <w:right w:w="0" w:type="dxa"/>
        </w:tblCellMar>
      </w:tblPr>
      <w:tblGrid>
        <w:gridCol w:w="897"/>
        <w:gridCol w:w="326"/>
        <w:gridCol w:w="8982"/>
      </w:tblGrid>
      <w:tr>
        <w:trPr/>
        <w:tc>
          <w:tcPr>
            <w:tcW w:w="89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898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630xex10d1.htm">
              <w:r>
                <w:rPr>
                  <w:rStyle w:val="InternetLink"/>
                  <w:rFonts w:ascii="Times New Roman;Times;serif" w:hAnsi="Times New Roman;Times;serif"/>
                  <w:b w:val="false"/>
                  <w:i w:val="false"/>
                  <w:caps w:val="false"/>
                  <w:smallCaps w:val="false"/>
                  <w:sz w:val="20"/>
                </w:rPr>
                <w:t>Amendment to Convertible Promissory Note, dated June 30, 2023, by and between NRx Pharmaceuticals, Inc. and Streetervillle Capital LLC.</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630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630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630xex32d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hyperlink w:anchor="nrxp-20230630xex32d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 of 2002.</w:t>
              </w:r>
            </w:hyperlink>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Interactive data files pursuant to Rule 405 of Regulation S-T formatted in Inline XBRL: (i) Condensed Consolidated Balance Sheets as of June 30, 2023 (Unaudited) and December 31, 2022; (ii) Unaudited Condensed Consolidated Statements of Operations for the three and six months ended June 30, 2023 and 2022 ; (iii) Unaudited Condensed Consolidated Statements of Changes in Stockholders' Equity (Deficit) for the six months ended June 30, 2023 and 2022; (iv) Unaudited Condensed Consolidated Statements of Cash Flows for the six months ended June 30, 2023 and 2022; and (v) Notes to Unaudited Financial Statements.</w:t>
            </w:r>
          </w:p>
        </w:tc>
      </w:tr>
      <w:tr>
        <w:trPr/>
        <w:tc>
          <w:tcPr>
            <w:tcW w:w="89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pPr>
            <w:r>
              <w:rPr/>
              <w:t>​</w:t>
            </w:r>
          </w:p>
        </w:tc>
      </w:tr>
      <w:tr>
        <w:trPr/>
        <w:tc>
          <w:tcPr>
            <w:tcW w:w="89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8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p>
      <w:pPr>
        <w:pStyle w:val="TextBody"/>
        <w:bidi w:val="0"/>
        <w:spacing w:before="0" w:after="160"/>
        <w:ind w:left="0" w:right="0" w:hanging="0"/>
        <w:jc w:val="both"/>
        <w:rPr/>
      </w:pPr>
      <w:r>
        <w:rPr/>
        <w:t>​</w:t>
      </w:r>
    </w:p>
    <w:p>
      <w:pPr>
        <w:pStyle w:val="TextBody"/>
        <w:bidi w:val="0"/>
        <w:spacing w:before="0" w:after="2"/>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
        <w:ind w:left="0" w:right="0" w:hanging="0"/>
        <w:jc w:val="both"/>
        <w:rPr/>
      </w:pPr>
      <w:r>
        <w:rPr/>
        <w:t xml:space="preserve">† </w:t>
      </w:r>
      <w:r>
        <w:rPr>
          <w:rFonts w:ascii="Times New Roman;Times;serif" w:hAnsi="Times New Roman;Times;serif"/>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
        <w:ind w:left="0" w:right="0" w:hanging="0"/>
        <w:jc w:val="center"/>
        <w:rPr>
          <w:rFonts w:ascii="Times New Roman;Times;serif" w:hAnsi="Times New Roman;Times;serif"/>
          <w:b/>
          <w:sz w:val="20"/>
        </w:rPr>
      </w:pPr>
      <w:bookmarkStart w:id="849" w:name="SIGNATURES_790307"/>
      <w:bookmarkStart w:id="850" w:name="_3ab125e4_192e_4a85_8098_8fe48e4a41a9"/>
      <w:bookmarkEnd w:id="849"/>
      <w:bookmarkEnd w:id="850"/>
      <w:r>
        <w:rPr>
          <w:rFonts w:ascii="Times New Roman;Times;serif" w:hAnsi="Times New Roman;Times;serif"/>
          <w:b/>
          <w:sz w:val="20"/>
        </w:rPr>
        <w:t>SIGNATURES</w:t>
      </w:r>
    </w:p>
    <w:p>
      <w:pPr>
        <w:pStyle w:val="TextBody"/>
        <w:bidi w:val="0"/>
        <w:spacing w:before="0" w:after="2"/>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997" w:type="dxa"/>
        <w:jc w:val="left"/>
        <w:tblInd w:w="0" w:type="dxa"/>
        <w:tblLayout w:type="fixed"/>
        <w:tblCellMar>
          <w:top w:w="0" w:type="dxa"/>
          <w:left w:w="0" w:type="dxa"/>
          <w:bottom w:w="0" w:type="dxa"/>
          <w:right w:w="0" w:type="dxa"/>
        </w:tblCellMar>
      </w:tblPr>
      <w:tblGrid>
        <w:gridCol w:w="1951"/>
        <w:gridCol w:w="109"/>
        <w:gridCol w:w="406"/>
        <w:gridCol w:w="4531"/>
      </w:tblGrid>
      <w:tr>
        <w:trPr/>
        <w:tc>
          <w:tcPr>
            <w:tcW w:w="19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NRX PHARMACEUTICALS, INC.</w:t>
            </w:r>
          </w:p>
        </w:tc>
      </w:tr>
      <w:tr>
        <w:trPr/>
        <w:tc>
          <w:tcPr>
            <w:tcW w:w="19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937"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2023</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Seth Van Voorhees</w:t>
            </w:r>
          </w:p>
        </w:tc>
      </w:tr>
      <w:tr>
        <w:trPr/>
        <w:tc>
          <w:tcPr>
            <w:tcW w:w="19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shd w:fill="FFFF00" w:val="clear"/>
              </w:rPr>
            </w:pPr>
            <w:r>
              <w:rPr>
                <w:shd w:fill="FFFF00" w:val="clear"/>
              </w:rPr>
              <w:t>​</w:t>
            </w:r>
          </w:p>
        </w:tc>
        <w:tc>
          <w:tcPr>
            <w:tcW w:w="45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Seth Van Voorhees</w:t>
            </w:r>
          </w:p>
        </w:tc>
      </w:tr>
      <w:tr>
        <w:trPr/>
        <w:tc>
          <w:tcPr>
            <w:tcW w:w="19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Chief Financial Officer (Principal Financial Officer) </w:t>
            </w:r>
          </w:p>
        </w:tc>
      </w:tr>
      <w:tr>
        <w:trPr/>
        <w:tc>
          <w:tcPr>
            <w:tcW w:w="195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45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288"/>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120"/>
        <w:ind w:left="0" w:right="0" w:hanging="0"/>
        <w:jc w:val="right"/>
        <w:rPr>
          <w:rFonts w:ascii="Times New Roman;Times;serif" w:hAnsi="Times New Roman;Times;serif"/>
          <w:b/>
          <w:sz w:val="24"/>
        </w:rPr>
      </w:pPr>
      <w:bookmarkStart w:id="851" w:name="nrxp-20230630xex10d1.htm"/>
      <w:bookmarkStart w:id="852" w:name="ksnrxp20230630xex10d1"/>
      <w:bookmarkEnd w:id="851"/>
      <w:bookmarkEnd w:id="852"/>
      <w:r>
        <w:rPr>
          <w:rFonts w:ascii="Times New Roman;Times;serif" w:hAnsi="Times New Roman;Times;serif"/>
          <w:b/>
          <w:sz w:val="24"/>
        </w:rPr>
        <w:t>Exhibit 10.1</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AMENDMENT TO CONVERTIBLE PROMISSORY NOTE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Amendment to Convertible Promissory Note (this “</w:t>
      </w:r>
      <w:r>
        <w:rPr>
          <w:rFonts w:ascii="Times New Roman;Times;serif" w:hAnsi="Times New Roman;Times;serif"/>
          <w:b/>
          <w:sz w:val="24"/>
        </w:rPr>
        <w:t>Amendment</w:t>
      </w:r>
      <w:r>
        <w:rPr>
          <w:rFonts w:ascii="Times New Roman;Times;serif" w:hAnsi="Times New Roman;Times;serif"/>
          <w:sz w:val="24"/>
        </w:rPr>
        <w:t xml:space="preserve">”) is entered into as of March __, 2023, by and between </w:t>
      </w:r>
      <w:r>
        <w:rPr>
          <w:rFonts w:ascii="Times New Roman;Times;serif" w:hAnsi="Times New Roman;Times;serif"/>
          <w:smallCaps/>
          <w:sz w:val="24"/>
        </w:rPr>
        <w:t>Streeterville Capital, LLC</w:t>
      </w:r>
      <w:r>
        <w:rPr>
          <w:rFonts w:ascii="Times New Roman;Times;serif" w:hAnsi="Times New Roman;Times;serif"/>
          <w:sz w:val="24"/>
        </w:rPr>
        <w:t>, a Utah limited liability company (“</w:t>
      </w:r>
      <w:r>
        <w:rPr>
          <w:rFonts w:ascii="Times New Roman;Times;serif" w:hAnsi="Times New Roman;Times;serif"/>
          <w:b/>
          <w:sz w:val="24"/>
        </w:rPr>
        <w:t>Lender</w:t>
      </w:r>
      <w:r>
        <w:rPr>
          <w:rFonts w:ascii="Times New Roman;Times;serif" w:hAnsi="Times New Roman;Times;serif"/>
          <w:sz w:val="24"/>
        </w:rPr>
        <w:t xml:space="preserve">”), and </w:t>
      </w:r>
      <w:r>
        <w:rPr>
          <w:rFonts w:ascii="Times New Roman;Times;serif" w:hAnsi="Times New Roman;Times;serif"/>
          <w:smallCaps/>
          <w:sz w:val="24"/>
        </w:rPr>
        <w:t>NRX Pharmaceuticals, Inc.</w:t>
      </w:r>
      <w:r>
        <w:rPr>
          <w:rFonts w:ascii="Times New Roman;Times;serif" w:hAnsi="Times New Roman;Times;serif"/>
          <w:sz w:val="24"/>
        </w:rPr>
        <w:t>, a Delaware corporation (“</w:t>
      </w:r>
      <w:r>
        <w:rPr>
          <w:rFonts w:ascii="Times New Roman;Times;serif" w:hAnsi="Times New Roman;Times;serif"/>
          <w:b/>
          <w:sz w:val="24"/>
        </w:rPr>
        <w:t>Borrower</w:t>
      </w:r>
      <w:r>
        <w:rPr>
          <w:rFonts w:ascii="Times New Roman;Times;serif" w:hAnsi="Times New Roman;Times;serif"/>
          <w:sz w:val="24"/>
        </w:rPr>
        <w:t>”). Capitalized terms used in this Amendment without definition shall have the meanings given to them in the Note (as defined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A.Borrower previously issued to Lender that certain Convertible Promissory Note dated November 4, 2022 in the principal amount of $11,020,000.00 (the “</w:t>
      </w:r>
      <w:r>
        <w:rPr>
          <w:rFonts w:ascii="Times New Roman;Times;serif" w:hAnsi="Times New Roman;Times;serif"/>
          <w:b/>
          <w:sz w:val="24"/>
        </w:rPr>
        <w:t>Note</w:t>
      </w:r>
      <w:r>
        <w:rPr>
          <w:rFonts w:ascii="Times New Roman;Times;serif" w:hAnsi="Times New Roman;Times;serif"/>
          <w:sz w:val="24"/>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B.Lender and Borrower have agreed, subject to the terms, conditions and understandings expressed in this Amendment, to amend the Note.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for good and valuable consideration, the receipt and sufficiency of which is hereby acknowledged, the parties agree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Recitals</w:t>
      </w:r>
      <w:r>
        <w:rPr>
          <w:rFonts w:ascii="Times New Roman;Times;serif" w:hAnsi="Times New Roman;Times;serif"/>
          <w:sz w:val="24"/>
        </w:rPr>
        <w:t>. Each of the parties hereto acknowledges and agrees that the recitals set forth above in this Amendment are true and accurate and are hereby incorporated into and made a part of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Amendment to Section 9</w:t>
      </w:r>
      <w:r>
        <w:rPr>
          <w:rFonts w:ascii="Times New Roman;Times;serif" w:hAnsi="Times New Roman;Times;serif"/>
          <w:sz w:val="24"/>
        </w:rPr>
        <w:t>. Section 9 of the Note is hereby deleted and replaced in its entirety with the following:</w:t>
      </w:r>
    </w:p>
    <w:p>
      <w:pPr>
        <w:pStyle w:val="TextBody"/>
        <w:bidi w:val="0"/>
        <w:spacing w:before="0" w:after="240"/>
        <w:ind w:left="720" w:right="720" w:hanging="0"/>
        <w:jc w:val="both"/>
        <w:rPr/>
      </w:pPr>
      <w:r>
        <w:rPr/>
        <w:t>“</w:t>
      </w:r>
      <w:r>
        <w:rPr>
          <w:rFonts w:ascii="Times New Roman;Times;serif" w:hAnsi="Times New Roman;Times;serif"/>
          <w:sz w:val="24"/>
        </w:rPr>
        <w:t>Notwithstanding anything to the contrary contained in this Note of the other Transaction Documents, Borrower shall not effect any conversion of this Note to the extent that after giving effect to such conversion would cause Lender (together with its affiliates) to beneficially own a number of shares exceeding 9.99% of the number of shares of Common Stock outstanding on such date (including for such purpose the Common Stock issuable upon such issuance) (the “</w:t>
      </w:r>
      <w:r>
        <w:rPr>
          <w:rFonts w:ascii="Times New Roman;Times;serif" w:hAnsi="Times New Roman;Times;serif"/>
          <w:b/>
          <w:sz w:val="24"/>
        </w:rPr>
        <w:t>Maximum Percentage</w:t>
      </w:r>
      <w:r>
        <w:rPr>
          <w:rFonts w:ascii="Times New Roman;Times;serif" w:hAnsi="Times New Roman;Times;serif"/>
          <w:sz w:val="24"/>
        </w:rPr>
        <w:t>”). For purposes of this section, beneficial ownership of Common Stock will be determined pursuant to Section 13(d) of the 1934 Act. By written notice to Borrower, Lender may increase, decrease or waive the Maximum Percentage as to itself but any such waiver will not be effective until the 61st day after delivery thereof. The foregoing 61-day notice requirement is enforceable, unconditional and non-waivable and shall apply to all affiliates and assigns of Lender.”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Representations and Warranties</w:t>
      </w:r>
      <w:r>
        <w:rPr>
          <w:rFonts w:ascii="Times New Roman;Times;serif" w:hAnsi="Times New Roman;Times;serif"/>
          <w:sz w:val="24"/>
        </w:rPr>
        <w:t>. In order to induce Lender to enter into this Amendment, Borrower, for itself, and for its affiliates, successors and assigns, hereby acknowledges, represents, warrants and agrees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Borrower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Borrower hereunder.</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There is no fact known to Borrower or which should be known to Borrower which Borrower has not disclosed to Lender on or prior to the date of this Amendment which would or could materially and adversely affect the understanding of Lender expressed in this Amendment or any representation, warranty, or recital contained in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Except as expressly set forth in this Amendment, Borrower acknowledges and agrees that neither the execution and delivery of this Amendment nor any of the terms, provisions, covenants, or agreements contained in this Amendment shall in any manner release, impair, lessen, modify, waive, or otherwise affect the liability and obligations of Borrower under the Note or any other transaction documents entered into in connection with the Note (the “</w:t>
      </w:r>
      <w:r>
        <w:rPr>
          <w:rFonts w:ascii="Times New Roman;Times;serif" w:hAnsi="Times New Roman;Times;serif"/>
          <w:b/>
          <w:sz w:val="24"/>
        </w:rPr>
        <w:t>Transaction Documents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Borrower has no defenses, affirmative or otherwise, rights of setoff, rights of recoupment, claims, counterclaims, actions or causes of action of any kind or nature whatsoever against Lender,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Borrower hereby acknowledges and agrees that the execution of this Amendment by Lender shall not constitute an acknowledgment of or admission by Lender of the existence of any claims or of liability for any matter or precedent upon which any claim or liability may be asserted.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Borrower represents and warrants that as of the date hereof no Events of Default or other material breaches exist under the Transaction Documents or have occurred prior to the date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Certain Acknowledgments</w:t>
      </w:r>
      <w:r>
        <w:rPr>
          <w:rFonts w:ascii="Times New Roman;Times;serif" w:hAnsi="Times New Roman;Times;serif"/>
          <w:sz w:val="24"/>
        </w:rPr>
        <w:t xml:space="preserve">. Each of the parties acknowledges and agrees that no property or cash consideration of any kind whatsoever has been or shall be given by Lender to Borrower in connection with this Amendment.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Other Terms Unchanged</w:t>
      </w:r>
      <w:r>
        <w:rPr>
          <w:rFonts w:ascii="Times New Roman;Times;serif" w:hAnsi="Times New Roman;Times;serif"/>
          <w:sz w:val="24"/>
        </w:rPr>
        <w:t>. The Note, as amended by this Amendment, remains and continues in full force and effect, constitutes legal, valid, and binding obligations of each of the parties, and is in all respects agreed to, ratified, and confirmed. Any reference to the Note after the date of this Amendment is deemed to be a reference to the Note as amended by this Amendment. If there is a conflict between the terms of this Amendment and the Note, the terms of this Amendment shall control. No forbearance or waiver may be implied by this Amendment. Except as expressly set forth herein, the execution, delivery, and performance of this Amendment shall not operate as a waiver of, or as an amendment to, any right, power, or remedy of Lender under the Note, as in effect prior to the date hereof. For the avoidance of doubt, this Amendment shall be subject to the governing law, venue, and Arbitration Provisions, as set forth in the Note.</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No Reliance</w:t>
      </w:r>
      <w:r>
        <w:rPr>
          <w:rFonts w:ascii="Times New Roman;Times;serif" w:hAnsi="Times New Roman;Times;serif"/>
          <w:sz w:val="24"/>
        </w:rPr>
        <w:t>.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Amendment and the Transaction Documents and, in making its decision to enter into the transactions contemplated by this Amendment, Borrower is not relying on any representation, warranty, covenant or promise of Lender or its officers, directors, members, managers, equity holders, agents or representatives other than as set forth in this Amendment.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Counterparts</w:t>
      </w:r>
      <w:r>
        <w:rPr>
          <w:rFonts w:ascii="Times New Roman;Times;serif" w:hAnsi="Times New Roman;Times;serif"/>
          <w:sz w:val="24"/>
        </w:rPr>
        <w:t>. This Amendment may be executed in any number of counterparts, each of which shall be deemed an original, but all of which together shall constitute one instrument. The parties hereto confirm that any electronic copy of another party’s executed counterpart of this Amendment (or such party’s signature page thereof) will be deemed to be an executed original thereof.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Further Assurances</w:t>
      </w:r>
      <w:r>
        <w:rPr>
          <w:rFonts w:ascii="Times New Roman;Times;serif" w:hAnsi="Times New Roman;Times;serif"/>
          <w:sz w:val="24"/>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undersigned have executed this Amendment as of the date set forth above.</w:t>
      </w:r>
    </w:p>
    <w:tbl>
      <w:tblPr>
        <w:tblW w:w="3319" w:type="dxa"/>
        <w:jc w:val="left"/>
        <w:tblInd w:w="0" w:type="dxa"/>
        <w:tblLayout w:type="fixed"/>
        <w:tblCellMar>
          <w:top w:w="0" w:type="dxa"/>
          <w:left w:w="0" w:type="dxa"/>
          <w:bottom w:w="0" w:type="dxa"/>
          <w:right w:w="0" w:type="dxa"/>
        </w:tblCellMar>
      </w:tblPr>
      <w:tblGrid>
        <w:gridCol w:w="124"/>
        <w:gridCol w:w="569"/>
        <w:gridCol w:w="2626"/>
      </w:tblGrid>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LENDER:</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Streeterville Capital, LLC</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John M. Fife, President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BORROWER:</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95" w:type="dxa"/>
            <w:gridSpan w:val="2"/>
            <w:tcBorders/>
            <w:vAlign w:val="center"/>
          </w:tcPr>
          <w:p>
            <w:pPr>
              <w:pStyle w:val="TableContents"/>
              <w:bidi w:val="0"/>
              <w:spacing w:before="0" w:after="0"/>
              <w:ind w:left="0" w:right="0" w:hanging="0"/>
              <w:jc w:val="left"/>
              <w:rPr>
                <w:rFonts w:ascii="Times New Roman;Times;serif" w:hAnsi="Times New Roman;Times;serif"/>
                <w:smallCaps/>
                <w:sz w:val="24"/>
              </w:rPr>
            </w:pPr>
            <w:r>
              <w:rPr>
                <w:rFonts w:ascii="Times New Roman;Times;serif" w:hAnsi="Times New Roman;Times;serif"/>
                <w:smallCaps/>
                <w:sz w:val="24"/>
              </w:rPr>
              <w:t>NRX Pharmaceuticals, Inc.</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Stephen Willard, CEO</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to Convertible Promissory Note]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53" w:name="nrxp-20230630xex31d1.htm"/>
      <w:bookmarkStart w:id="854" w:name="ksnrxp20230630xex31d1"/>
      <w:bookmarkEnd w:id="853"/>
      <w:bookmarkEnd w:id="854"/>
      <w:r>
        <w:rPr>
          <w:rFonts w:ascii="Times New Roman;Times;serif" w:hAnsi="Times New Roman;Times;serif"/>
          <w:b/>
          <w:sz w:val="18"/>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 Stephen H. Willard, Chief Executive Officer of NRx Pharmaceuticals, Inc.,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55"/>
        <w:gridCol w:w="7235"/>
      </w:tblGrid>
      <w:tr>
        <w:trPr/>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723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 have reviewed this Quarterly Report on Form 10-Q of NRx Pharmaceuticals, Inc. (the “Registrant”);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76"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3.</w:t>
            </w:r>
          </w:p>
        </w:tc>
        <w:tc>
          <w:tcPr>
            <w:tcW w:w="10074"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867" w:type="dxa"/>
        <w:jc w:val="center"/>
        <w:tblInd w:w="0" w:type="dxa"/>
        <w:tblLayout w:type="fixed"/>
        <w:tblCellMar>
          <w:top w:w="0" w:type="dxa"/>
          <w:left w:w="0" w:type="dxa"/>
          <w:bottom w:w="0" w:type="dxa"/>
          <w:right w:w="0" w:type="dxa"/>
        </w:tblCellMar>
      </w:tblPr>
      <w:tblGrid>
        <w:gridCol w:w="1951"/>
        <w:gridCol w:w="39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38885" cy="146685"/>
                      <wp:effectExtent l="0" t="0" r="0" b="0"/>
                      <wp:wrapNone/>
                      <wp:docPr id="203" name="Frame203"/>
                      <a:graphic xmlns:a="http://schemas.openxmlformats.org/drawingml/2006/main">
                        <a:graphicData uri="http://schemas.microsoft.com/office/word/2010/wordprocessingShape">
                          <wps:wsp>
                            <wps:cNvSpPr txBox="1"/>
                            <wps:spPr>
                              <a:xfrm>
                                <a:off x="0" y="0"/>
                                <a:ext cx="12388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486660" cy="175260"/>
                      <wp:effectExtent l="0" t="0" r="0" b="0"/>
                      <wp:wrapNone/>
                      <wp:docPr id="204" name="Frame20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H. Willard</w:t>
            </w:r>
          </w:p>
        </w:tc>
      </w:tr>
      <w:tr>
        <w:trPr/>
        <w:tc>
          <w:tcPr>
            <w:tcW w:w="1951" w:type="dxa"/>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H. Willard</w:t>
            </w:r>
          </w:p>
        </w:tc>
      </w:tr>
      <w:tr>
        <w:trPr/>
        <w:tc>
          <w:tcPr>
            <w:tcW w:w="195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Executive Officer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55" w:name="nrxp-20230630xex31d2.htm"/>
      <w:bookmarkStart w:id="856" w:name="ksnrxp20230630xex31d2"/>
      <w:bookmarkEnd w:id="855"/>
      <w:bookmarkEnd w:id="856"/>
      <w:r>
        <w:rPr>
          <w:rFonts w:ascii="Times New Roman;Times;serif" w:hAnsi="Times New Roman;Times;serif"/>
          <w:b/>
          <w:sz w:val="18"/>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ACTING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RULE 13a-14(a) AND 15d-14(a),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 Seth Van Voorhees, Chief Financial Officer of NRx Pharmaceuticals, Inc., certify that:</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155"/>
        <w:gridCol w:w="7235"/>
      </w:tblGrid>
      <w:tr>
        <w:trPr/>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723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I have reviewed this Quarterly Report on Form 10-Q of NRx Pharmaceuticals, Inc. (the “Registrant”);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76"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3.</w:t>
            </w:r>
          </w:p>
        </w:tc>
        <w:tc>
          <w:tcPr>
            <w:tcW w:w="10074"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c.</w:t>
            </w:r>
          </w:p>
        </w:tc>
        <w:tc>
          <w:tcPr>
            <w:tcW w:w="1004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1002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w:t>
            </w:r>
          </w:p>
        </w:tc>
        <w:tc>
          <w:tcPr>
            <w:tcW w:w="10042"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b.</w:t>
            </w:r>
          </w:p>
        </w:tc>
        <w:tc>
          <w:tcPr>
            <w:tcW w:w="10027" w:type="dxa"/>
            <w:tcBorders/>
            <w:vAlign w:val="center"/>
          </w:tcPr>
          <w:p>
            <w:pPr>
              <w:pStyle w:val="TableContents"/>
              <w:pBdr/>
              <w:bidi w:val="0"/>
              <w:spacing w:before="0" w:after="0"/>
              <w:jc w:val="left"/>
              <w:rPr>
                <w:rFonts w:ascii="Times New Roman;Times;serif" w:hAnsi="Times New Roman;Times;serif"/>
                <w:sz w:val="18"/>
              </w:rPr>
            </w:pPr>
            <w:r>
              <w:rPr>
                <w:rFonts w:ascii="Times New Roman;Times;serif" w:hAnsi="Times New Roman;Times;serif"/>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777" w:type="dxa"/>
        <w:jc w:val="center"/>
        <w:tblInd w:w="0" w:type="dxa"/>
        <w:tblLayout w:type="fixed"/>
        <w:tblCellMar>
          <w:top w:w="0" w:type="dxa"/>
          <w:left w:w="0" w:type="dxa"/>
          <w:bottom w:w="0" w:type="dxa"/>
          <w:right w:w="0" w:type="dxa"/>
        </w:tblCellMar>
      </w:tblPr>
      <w:tblGrid>
        <w:gridCol w:w="1951"/>
        <w:gridCol w:w="382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38885" cy="175260"/>
                      <wp:effectExtent l="0" t="0" r="0" b="0"/>
                      <wp:wrapNone/>
                      <wp:docPr id="205" name="Frame205"/>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29510" cy="175260"/>
                      <wp:effectExtent l="0" t="0" r="0" b="0"/>
                      <wp:wrapNone/>
                      <wp:docPr id="206" name="Frame206"/>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Seth Van Voorhees</w:t>
            </w:r>
          </w:p>
        </w:tc>
      </w:tr>
      <w:tr>
        <w:trPr/>
        <w:tc>
          <w:tcPr>
            <w:tcW w:w="195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Seth Van Voorhees</w:t>
            </w:r>
          </w:p>
        </w:tc>
      </w:tr>
      <w:tr>
        <w:trPr/>
        <w:tc>
          <w:tcPr>
            <w:tcW w:w="195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57" w:name="nrxp-20230630xex32d1.htm"/>
      <w:bookmarkStart w:id="858" w:name="ksnrxp20230630xex32d1"/>
      <w:bookmarkEnd w:id="857"/>
      <w:bookmarkEnd w:id="858"/>
      <w:r>
        <w:rPr>
          <w:rFonts w:ascii="Times New Roman;Times;serif" w:hAnsi="Times New Roman;Times;serif"/>
          <w:b/>
          <w:sz w:val="18"/>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CHIEF EXECUTIVE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connection with the filing of the Quarterly Report on Form 10-Q for the three months ended June 30, 2023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023" w:type="dxa"/>
        <w:jc w:val="left"/>
        <w:tblInd w:w="0" w:type="dxa"/>
        <w:tblLayout w:type="fixed"/>
        <w:tblCellMar>
          <w:top w:w="0" w:type="dxa"/>
          <w:left w:w="0" w:type="dxa"/>
          <w:bottom w:w="0" w:type="dxa"/>
          <w:right w:w="0" w:type="dxa"/>
        </w:tblCellMar>
      </w:tblPr>
      <w:tblGrid>
        <w:gridCol w:w="23"/>
        <w:gridCol w:w="155"/>
        <w:gridCol w:w="984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984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Report fully complies with the requirements of Section 13(a) or Section 15(d) of the Securities Exchange Act of 1934, as amended; and</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2.</w:t>
            </w:r>
          </w:p>
        </w:tc>
        <w:tc>
          <w:tcPr>
            <w:tcW w:w="10028"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w:t>
      </w:r>
    </w:p>
    <w:tbl>
      <w:tblPr>
        <w:tblW w:w="6392" w:type="dxa"/>
        <w:jc w:val="center"/>
        <w:tblInd w:w="0" w:type="dxa"/>
        <w:tblLayout w:type="fixed"/>
        <w:tblCellMar>
          <w:top w:w="0" w:type="dxa"/>
          <w:left w:w="0" w:type="dxa"/>
          <w:bottom w:w="0" w:type="dxa"/>
          <w:right w:w="0" w:type="dxa"/>
        </w:tblCellMar>
      </w:tblPr>
      <w:tblGrid>
        <w:gridCol w:w="1951"/>
        <w:gridCol w:w="44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38885" cy="175260"/>
                      <wp:effectExtent l="0" t="0" r="0" b="0"/>
                      <wp:wrapNone/>
                      <wp:docPr id="207" name="Frame20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820670" cy="175260"/>
                      <wp:effectExtent l="0" t="0" r="0" b="0"/>
                      <wp:wrapNone/>
                      <wp:docPr id="208" name="Frame208"/>
                      <a:graphic xmlns:a="http://schemas.openxmlformats.org/drawingml/2006/main">
                        <a:graphicData uri="http://schemas.microsoft.com/office/word/2010/wordprocessingShape">
                          <wps:wsp>
                            <wps:cNvSpPr txBox="1"/>
                            <wps:spPr>
                              <a:xfrm>
                                <a:off x="0" y="0"/>
                                <a:ext cx="282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H. Willard</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H. Willard</w:t>
            </w:r>
          </w:p>
        </w:tc>
      </w:tr>
      <w:tr>
        <w:trPr/>
        <w:tc>
          <w:tcPr>
            <w:tcW w:w="195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859" w:name="nrxp-20230630xex32d2.htm"/>
      <w:bookmarkStart w:id="860" w:name="ksnrxp20230630xex32d2"/>
      <w:bookmarkEnd w:id="859"/>
      <w:bookmarkEnd w:id="860"/>
      <w:r>
        <w:rPr>
          <w:rFonts w:ascii="Times New Roman;Times;serif" w:hAnsi="Times New Roman;Times;serif"/>
          <w:b/>
          <w:sz w:val="18"/>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OF THE ACTING CHIEF FINANCIAL OFFICER</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connection with the filing of the Quarterly Report on Form 10-Q for the three months ended June 30, 2023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sz w:val="18"/>
        </w:rPr>
        <w:t>1.the Report fully complies with the requirements of Section 13(a) or Section 15(d) of the Securities Exchange Act of 1934, as amended; and</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sz w:val="18"/>
        </w:rPr>
        <w:t>2.the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w:t>
      </w:r>
    </w:p>
    <w:tbl>
      <w:tblPr>
        <w:tblW w:w="6272" w:type="dxa"/>
        <w:jc w:val="center"/>
        <w:tblInd w:w="0" w:type="dxa"/>
        <w:tblLayout w:type="fixed"/>
        <w:tblCellMar>
          <w:top w:w="0" w:type="dxa"/>
          <w:left w:w="0" w:type="dxa"/>
          <w:bottom w:w="0" w:type="dxa"/>
          <w:right w:w="0" w:type="dxa"/>
        </w:tblCellMar>
      </w:tblPr>
      <w:tblGrid>
        <w:gridCol w:w="1951"/>
        <w:gridCol w:w="432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38885" cy="175260"/>
                      <wp:effectExtent l="0" t="0" r="0" b="0"/>
                      <wp:wrapNone/>
                      <wp:docPr id="209" name="Frame20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744470" cy="175260"/>
                      <wp:effectExtent l="0" t="0" r="0" b="0"/>
                      <wp:wrapNone/>
                      <wp:docPr id="210" name="Frame210"/>
                      <a:graphic xmlns:a="http://schemas.openxmlformats.org/drawingml/2006/main">
                        <a:graphicData uri="http://schemas.microsoft.com/office/word/2010/wordprocessingShape">
                          <wps:wsp>
                            <wps:cNvSpPr txBox="1"/>
                            <wps:spPr>
                              <a:xfrm>
                                <a:off x="0" y="0"/>
                                <a:ext cx="274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Seth Van Voorhees </w:t>
            </w:r>
          </w:p>
        </w:tc>
      </w:tr>
      <w:tr>
        <w:trPr/>
        <w:tc>
          <w:tcPr>
            <w:tcW w:w="1951" w:type="dxa"/>
            <w:tcBorders/>
            <w:vAlign w:val="center"/>
          </w:tcPr>
          <w:p>
            <w:pPr>
              <w:pStyle w:val="TableContents"/>
              <w:bidi w:val="0"/>
              <w:spacing w:before="0" w:after="0"/>
              <w:ind w:left="0" w:right="0" w:hanging="0"/>
              <w:jc w:val="left"/>
              <w:rPr/>
            </w:pPr>
            <w:r>
              <w:rPr/>
              <w:t>​</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Seth Van Voorhees</w:t>
            </w:r>
          </w:p>
        </w:tc>
      </w:tr>
      <w:tr>
        <w:trPr/>
        <w:tc>
          <w:tcPr>
            <w:tcW w:w="195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28368</Words>
  <Characters>156243</Characters>
  <CharactersWithSpaces>185169</CharactersWithSpaces>
  <Paragraphs>3823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