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631063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063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357505</wp:posOffset>
            </wp:positionV>
            <wp:extent cx="63106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0630" cy="698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10-Q/A</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75" w:lineRule="exact"/>
        <w:rPr>
          <w:sz w:val="24"/>
          <w:szCs w:val="24"/>
          <w:color w:val="auto"/>
        </w:rPr>
      </w:pPr>
    </w:p>
    <w:p>
      <w:pPr>
        <w:ind w:left="3460" w:right="1040" w:hanging="2436"/>
        <w:spacing w:after="0" w:line="331" w:lineRule="auto"/>
        <w:tabs>
          <w:tab w:leader="none" w:pos="1281" w:val="left"/>
        </w:tabs>
        <w:numPr>
          <w:ilvl w:val="1"/>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June 30, 2021</w:t>
      </w:r>
    </w:p>
    <w:p>
      <w:pPr>
        <w:spacing w:after="0" w:line="19" w:lineRule="exact"/>
        <w:rPr>
          <w:rFonts w:ascii="MS PGothic" w:cs="MS PGothic" w:eastAsia="MS PGothic" w:hAnsi="MS PGothic"/>
          <w:sz w:val="15"/>
          <w:szCs w:val="15"/>
          <w:color w:val="auto"/>
        </w:rPr>
      </w:pPr>
    </w:p>
    <w:p>
      <w:pPr>
        <w:ind w:left="1260" w:hanging="242"/>
        <w:spacing w:after="0"/>
        <w:tabs>
          <w:tab w:leader="none" w:pos="12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3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0" w:type="dxa"/>
            <w:vAlign w:val="bottom"/>
            <w:gridSpan w:val="5"/>
          </w:tcPr>
          <w:p>
            <w:pPr>
              <w:jc w:val="center"/>
              <w:ind w:left="342"/>
              <w:spacing w:after="0"/>
              <w:rPr>
                <w:sz w:val="20"/>
                <w:szCs w:val="20"/>
                <w:color w:val="auto"/>
              </w:rPr>
            </w:pPr>
            <w:r>
              <w:rPr>
                <w:rFonts w:ascii="Times New Roman" w:cs="Times New Roman" w:eastAsia="Times New Roman" w:hAnsi="Times New Roman"/>
                <w:sz w:val="15"/>
                <w:szCs w:val="15"/>
                <w:b w:val="1"/>
                <w:bCs w:val="1"/>
                <w:color w:val="auto"/>
              </w:rPr>
              <w:t>Commission File Number: 001-39412</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580" w:type="dxa"/>
            <w:vAlign w:val="bottom"/>
            <w:gridSpan w:val="6"/>
          </w:tcPr>
          <w:p>
            <w:pPr>
              <w:jc w:val="center"/>
              <w:ind w:right="3305"/>
              <w:spacing w:after="0"/>
              <w:rPr>
                <w:sz w:val="20"/>
                <w:szCs w:val="20"/>
                <w:color w:val="auto"/>
              </w:rPr>
            </w:pPr>
            <w:r>
              <w:rPr>
                <w:rFonts w:ascii="Times New Roman" w:cs="Times New Roman" w:eastAsia="Times New Roman" w:hAnsi="Times New Roman"/>
                <w:sz w:val="20"/>
                <w:szCs w:val="20"/>
                <w:b w:val="1"/>
                <w:bCs w:val="1"/>
                <w:color w:val="auto"/>
                <w:w w:val="97"/>
              </w:rPr>
              <w:t>NRX PHARMACEUTICALS, INC.</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6580" w:type="dxa"/>
            <w:vAlign w:val="bottom"/>
            <w:gridSpan w:val="6"/>
          </w:tcPr>
          <w:p>
            <w:pPr>
              <w:jc w:val="center"/>
              <w:ind w:right="3285"/>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3340" w:type="dxa"/>
            <w:vAlign w:val="bottom"/>
          </w:tcPr>
          <w:p>
            <w:pPr>
              <w:jc w:val="center"/>
              <w:ind w:left="1325"/>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jc w:val="center"/>
              <w:ind w:right="945"/>
              <w:spacing w:after="0"/>
              <w:rPr>
                <w:sz w:val="20"/>
                <w:szCs w:val="20"/>
                <w:color w:val="auto"/>
              </w:rPr>
            </w:pPr>
            <w:r>
              <w:rPr>
                <w:rFonts w:ascii="Times New Roman" w:cs="Times New Roman" w:eastAsia="Times New Roman" w:hAnsi="Times New Roman"/>
                <w:sz w:val="15"/>
                <w:szCs w:val="15"/>
                <w:b w:val="1"/>
                <w:bCs w:val="1"/>
                <w:color w:val="auto"/>
                <w:w w:val="99"/>
              </w:rPr>
              <w:t>82-2844431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40" w:type="dxa"/>
            <w:vAlign w:val="bottom"/>
          </w:tcPr>
          <w:p>
            <w:pPr>
              <w:jc w:val="center"/>
              <w:ind w:left="1325"/>
              <w:spacing w:after="0"/>
              <w:rPr>
                <w:sz w:val="20"/>
                <w:szCs w:val="20"/>
                <w:color w:val="auto"/>
              </w:rPr>
            </w:pPr>
            <w:r>
              <w:rPr>
                <w:rFonts w:ascii="Times New Roman" w:cs="Times New Roman" w:eastAsia="Times New Roman" w:hAnsi="Times New Roman"/>
                <w:sz w:val="15"/>
                <w:szCs w:val="15"/>
                <w:color w:val="auto"/>
                <w:w w:val="99"/>
              </w:rPr>
              <w:t>(State or other jurisdiction of</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jc w:val="center"/>
              <w:ind w:right="945"/>
              <w:spacing w:after="0"/>
              <w:rPr>
                <w:sz w:val="20"/>
                <w:szCs w:val="20"/>
                <w:color w:val="auto"/>
              </w:rPr>
            </w:pPr>
            <w:r>
              <w:rPr>
                <w:rFonts w:ascii="Times New Roman" w:cs="Times New Roman" w:eastAsia="Times New Roman" w:hAnsi="Times New Roman"/>
                <w:sz w:val="15"/>
                <w:szCs w:val="15"/>
                <w:color w:val="auto"/>
              </w:rPr>
              <w:t>(I.R.S. Employer</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40" w:type="dxa"/>
            <w:vAlign w:val="bottom"/>
          </w:tcPr>
          <w:p>
            <w:pPr>
              <w:jc w:val="center"/>
              <w:ind w:left="1325"/>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tcPr>
          <w:p>
            <w:pPr>
              <w:jc w:val="center"/>
              <w:ind w:right="945"/>
              <w:spacing w:after="0"/>
              <w:rPr>
                <w:sz w:val="20"/>
                <w:szCs w:val="20"/>
                <w:color w:val="auto"/>
              </w:rPr>
            </w:pPr>
            <w:r>
              <w:rPr>
                <w:rFonts w:ascii="Times New Roman" w:cs="Times New Roman" w:eastAsia="Times New Roman" w:hAnsi="Times New Roman"/>
                <w:sz w:val="15"/>
                <w:szCs w:val="15"/>
                <w:color w:val="auto"/>
              </w:rPr>
              <w:t>Identification No.)</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800" w:type="dxa"/>
            <w:vAlign w:val="bottom"/>
            <w:gridSpan w:val="5"/>
          </w:tcPr>
          <w:p>
            <w:pPr>
              <w:jc w:val="center"/>
              <w:ind w:left="342"/>
              <w:spacing w:after="0"/>
              <w:rPr>
                <w:sz w:val="20"/>
                <w:szCs w:val="20"/>
                <w:color w:val="auto"/>
              </w:rPr>
            </w:pPr>
            <w:r>
              <w:rPr>
                <w:rFonts w:ascii="Times New Roman" w:cs="Times New Roman" w:eastAsia="Times New Roman" w:hAnsi="Times New Roman"/>
                <w:sz w:val="15"/>
                <w:szCs w:val="15"/>
                <w:b w:val="1"/>
                <w:bCs w:val="1"/>
                <w:color w:val="auto"/>
                <w:w w:val="99"/>
              </w:rPr>
              <w:t>1201 Orange Street, Suite 600</w:t>
            </w:r>
          </w:p>
        </w:tc>
        <w:tc>
          <w:tcPr>
            <w:tcW w:w="3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w w:val="99"/>
              </w:rPr>
              <w:t>Wilmington, DE 19801</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6580" w:type="dxa"/>
            <w:vAlign w:val="bottom"/>
            <w:gridSpan w:val="6"/>
          </w:tcPr>
          <w:p>
            <w:pPr>
              <w:jc w:val="center"/>
              <w:ind w:right="3305"/>
              <w:spacing w:after="0"/>
              <w:rPr>
                <w:sz w:val="20"/>
                <w:szCs w:val="20"/>
                <w:color w:val="auto"/>
              </w:rPr>
            </w:pPr>
            <w:r>
              <w:rPr>
                <w:rFonts w:ascii="Times New Roman" w:cs="Times New Roman" w:eastAsia="Times New Roman" w:hAnsi="Times New Roman"/>
                <w:sz w:val="15"/>
                <w:szCs w:val="15"/>
                <w:color w:val="auto"/>
                <w:w w:val="99"/>
              </w:rPr>
              <w:t>(Address of principal executive offices) (Zip Code)</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60" w:type="dxa"/>
            <w:vAlign w:val="bottom"/>
            <w:gridSpan w:val="3"/>
          </w:tcPr>
          <w:p>
            <w:pPr>
              <w:jc w:val="center"/>
              <w:ind w:left="582"/>
              <w:spacing w:after="0"/>
              <w:rPr>
                <w:sz w:val="20"/>
                <w:szCs w:val="20"/>
                <w:color w:val="auto"/>
              </w:rPr>
            </w:pPr>
            <w:r>
              <w:rPr>
                <w:rFonts w:ascii="Times New Roman" w:cs="Times New Roman" w:eastAsia="Times New Roman" w:hAnsi="Times New Roman"/>
                <w:sz w:val="15"/>
                <w:szCs w:val="15"/>
                <w:b w:val="1"/>
                <w:bCs w:val="1"/>
                <w:color w:val="auto"/>
              </w:rPr>
              <w:t>(484) 254-6134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6580" w:type="dxa"/>
            <w:vAlign w:val="bottom"/>
            <w:gridSpan w:val="6"/>
          </w:tcPr>
          <w:p>
            <w:pPr>
              <w:jc w:val="center"/>
              <w:ind w:right="3285"/>
              <w:spacing w:after="0"/>
              <w:rPr>
                <w:sz w:val="20"/>
                <w:szCs w:val="20"/>
                <w:color w:val="auto"/>
              </w:rPr>
            </w:pPr>
            <w:r>
              <w:rPr>
                <w:rFonts w:ascii="Times New Roman" w:cs="Times New Roman" w:eastAsia="Times New Roman" w:hAnsi="Times New Roman"/>
                <w:sz w:val="15"/>
                <w:szCs w:val="15"/>
                <w:color w:val="auto"/>
                <w:w w:val="99"/>
              </w:rPr>
              <w:t>(Registrant’s telephone number, including area code)</w:t>
            </w:r>
          </w:p>
        </w:tc>
        <w:tc>
          <w:tcPr>
            <w:tcW w:w="0" w:type="dxa"/>
            <w:vAlign w:val="bottom"/>
          </w:tcPr>
          <w:p>
            <w:pPr>
              <w:spacing w:after="0"/>
              <w:rPr>
                <w:sz w:val="1"/>
                <w:szCs w:val="1"/>
                <w:color w:val="auto"/>
              </w:rPr>
            </w:pPr>
          </w:p>
        </w:tc>
      </w:tr>
      <w:tr>
        <w:trPr>
          <w:trHeight w:val="248"/>
        </w:trPr>
        <w:tc>
          <w:tcPr>
            <w:tcW w:w="616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340" w:type="dxa"/>
            <w:vAlign w:val="bottom"/>
          </w:tcPr>
          <w:p>
            <w:pPr>
              <w:jc w:val="center"/>
              <w:ind w:left="625"/>
              <w:spacing w:after="0"/>
              <w:rPr>
                <w:sz w:val="20"/>
                <w:szCs w:val="20"/>
                <w:color w:val="auto"/>
              </w:rPr>
            </w:pPr>
            <w:r>
              <w:rPr>
                <w:rFonts w:ascii="Times New Roman" w:cs="Times New Roman" w:eastAsia="Times New Roman" w:hAnsi="Times New Roman"/>
                <w:sz w:val="15"/>
                <w:szCs w:val="15"/>
                <w:b w:val="1"/>
                <w:bCs w:val="1"/>
                <w:color w:val="auto"/>
                <w:w w:val="98"/>
              </w:rPr>
              <w:t>Title of each class:</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Trading Symbol(s)</w:t>
            </w:r>
          </w:p>
        </w:tc>
        <w:tc>
          <w:tcPr>
            <w:tcW w:w="378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Name of each exchange on which registered:</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340" w:type="dxa"/>
            <w:vAlign w:val="bottom"/>
          </w:tcPr>
          <w:p>
            <w:pPr>
              <w:jc w:val="center"/>
              <w:ind w:left="625"/>
              <w:spacing w:after="0"/>
              <w:rPr>
                <w:sz w:val="20"/>
                <w:szCs w:val="20"/>
                <w:color w:val="auto"/>
              </w:rPr>
            </w:pPr>
            <w:r>
              <w:rPr>
                <w:rFonts w:ascii="Times New Roman" w:cs="Times New Roman" w:eastAsia="Times New Roman" w:hAnsi="Times New Roman"/>
                <w:sz w:val="15"/>
                <w:szCs w:val="15"/>
                <w:color w:val="auto"/>
                <w:w w:val="99"/>
              </w:rPr>
              <w:t>Common Stock, par value $0.001 per share</w:t>
            </w:r>
          </w:p>
        </w:tc>
        <w:tc>
          <w:tcPr>
            <w:tcW w:w="7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NRXP</w:t>
            </w: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9"/>
              </w:rPr>
              <w:t>The Nasdaq Stock Market LLC</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Warrants to purchase one share of Common Stock</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color w:val="auto"/>
                <w:w w:val="99"/>
              </w:rPr>
              <w:t>NRXPW</w:t>
            </w:r>
          </w:p>
        </w:tc>
        <w:tc>
          <w:tcPr>
            <w:tcW w:w="378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9"/>
              </w:rPr>
              <w:t>The Nasdaq Stock Market LLC</w:t>
            </w:r>
          </w:p>
        </w:tc>
        <w:tc>
          <w:tcPr>
            <w:tcW w:w="0" w:type="dxa"/>
            <w:vAlign w:val="bottom"/>
          </w:tcPr>
          <w:p>
            <w:pPr>
              <w:spacing w:after="0"/>
              <w:rPr>
                <w:sz w:val="1"/>
                <w:szCs w:val="1"/>
                <w:color w:val="auto"/>
              </w:rPr>
            </w:pPr>
          </w:p>
        </w:tc>
      </w:tr>
    </w:tbl>
    <w:p>
      <w:pPr>
        <w:spacing w:after="0" w:line="65" w:lineRule="exact"/>
        <w:rPr>
          <w:sz w:val="24"/>
          <w:szCs w:val="24"/>
          <w:color w:val="auto"/>
        </w:rPr>
      </w:pPr>
    </w:p>
    <w:p>
      <w:pPr>
        <w:jc w:val="both"/>
        <w:ind w:right="20" w:firstLine="541"/>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7" w:lineRule="exact"/>
        <w:rPr>
          <w:sz w:val="24"/>
          <w:szCs w:val="24"/>
          <w:color w:val="auto"/>
        </w:rPr>
      </w:pPr>
    </w:p>
    <w:p>
      <w:pPr>
        <w:jc w:val="both"/>
        <w:ind w:firstLine="541"/>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7" w:lineRule="exact"/>
        <w:rPr>
          <w:sz w:val="24"/>
          <w:szCs w:val="24"/>
          <w:color w:val="auto"/>
        </w:rPr>
      </w:pPr>
    </w:p>
    <w:p>
      <w:pPr>
        <w:jc w:val="both"/>
        <w:ind w:right="20" w:firstLine="541"/>
        <w:spacing w:after="0" w:line="26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576" w:right="979" w:bottom="1440" w:gutter="0" w:footer="0" w:header="0"/>
        </w:sectPr>
      </w:pPr>
    </w:p>
    <w:p>
      <w:pPr>
        <w:spacing w:after="0" w:line="4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2"/>
          <w:szCs w:val="12"/>
          <w:color w:val="auto"/>
        </w:rPr>
        <w:t>Large accelerated filer ¬</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 ¬</w:t>
      </w:r>
    </w:p>
    <w:p>
      <w:pPr>
        <w:spacing w:after="0" w:line="177" w:lineRule="exact"/>
        <w:rPr>
          <w:sz w:val="24"/>
          <w:szCs w:val="24"/>
          <w:color w:val="auto"/>
        </w:rPr>
      </w:pPr>
    </w:p>
    <w:p>
      <w:pPr>
        <w:sectPr>
          <w:pgSz w:w="11900" w:h="16838" w:orient="portrait"/>
          <w:cols w:equalWidth="0" w:num="2">
            <w:col w:w="6120" w:space="720"/>
            <w:col w:w="3100"/>
          </w:cols>
          <w:pgMar w:left="980" w:top="576" w:right="979" w:bottom="1440" w:gutter="0" w:footer="0" w:header="0"/>
          <w:type w:val="continuous"/>
        </w:sectPr>
      </w:pPr>
    </w:p>
    <w:p>
      <w:pPr>
        <w:ind w:left="6540"/>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ectPr>
          <w:pgSz w:w="11900" w:h="16838" w:orient="portrait"/>
          <w:cols w:equalWidth="0" w:num="1">
            <w:col w:w="9940"/>
          </w:cols>
          <w:pgMar w:left="980" w:top="576" w:right="979" w:bottom="1440" w:gutter="0" w:footer="0" w:header="0"/>
          <w:type w:val="continuous"/>
        </w:sectPr>
      </w:pPr>
    </w:p>
    <w:p>
      <w:pPr>
        <w:spacing w:after="0" w:line="200" w:lineRule="exact"/>
        <w:rPr>
          <w:sz w:val="24"/>
          <w:szCs w:val="24"/>
          <w:color w:val="auto"/>
        </w:rPr>
      </w:pPr>
    </w:p>
    <w:p>
      <w:pPr>
        <w:ind w:left="130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18" w:lineRule="exact"/>
        <w:rPr>
          <w:sz w:val="24"/>
          <w:szCs w:val="24"/>
          <w:color w:val="auto"/>
        </w:rPr>
      </w:pPr>
    </w:p>
    <w:p>
      <w:pPr>
        <w:sectPr>
          <w:pgSz w:w="11900" w:h="16838" w:orient="portrait"/>
          <w:cols w:equalWidth="0" w:num="2">
            <w:col w:w="5820" w:space="720"/>
            <w:col w:w="3400"/>
          </w:cols>
          <w:pgMar w:left="980" w:top="576" w:right="979" w:bottom="1440" w:gutter="0" w:footer="0" w:header="0"/>
          <w:type w:val="continuous"/>
        </w:sectPr>
      </w:pPr>
    </w:p>
    <w:p>
      <w:pPr>
        <w:ind w:firstLine="541"/>
        <w:spacing w:after="0" w:line="19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 w:lineRule="exact"/>
        <w:rPr>
          <w:sz w:val="24"/>
          <w:szCs w:val="24"/>
          <w:color w:val="auto"/>
        </w:rPr>
      </w:pPr>
    </w:p>
    <w:p>
      <w:pPr>
        <w:ind w:left="540" w:right="1720"/>
        <w:spacing w:after="0" w:line="23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August 16, 2021, the registrant had 48,603,585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394970</wp:posOffset>
            </wp:positionV>
            <wp:extent cx="631063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0630" cy="146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44450</wp:posOffset>
            </wp:positionV>
            <wp:extent cx="631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063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80010</wp:posOffset>
            </wp:positionV>
            <wp:extent cx="631063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0630" cy="28575"/>
                    </a:xfrm>
                    <a:prstGeom prst="rect">
                      <a:avLst/>
                    </a:prstGeom>
                    <a:noFill/>
                  </pic:spPr>
                </pic:pic>
              </a:graphicData>
            </a:graphic>
          </wp:anchor>
        </w:drawing>
      </w:r>
    </w:p>
    <w:p>
      <w:pPr>
        <w:sectPr>
          <w:pgSz w:w="11900" w:h="16838" w:orient="portrait"/>
          <w:cols w:equalWidth="0" w:num="1">
            <w:col w:w="9940"/>
          </w:cols>
          <w:pgMar w:left="980" w:top="576"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NRX Pharmaceuticals, Inc. (the “Company,” “we,” “us” or “our”) is filing this Amendment No. 1 to its Quarterly Report on Form 10-Q for the quarterly period ended June 30, 2021 (this “Quarterly Report”) to amend and restate certain items in its Quarterly Report on Form 10-Q for the quarterly period ended June 30, 2021 originally filed with the Securities and Exchange Commission (the “SEC”) on August 16, 2021 (the “Original Quarterly Report”). The Original Quarterly Report should no longer be relied upon due to insufficient review procedures related to complex warrant transactions.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Background of Restatement</w:t>
      </w:r>
    </w:p>
    <w:p>
      <w:pPr>
        <w:spacing w:after="0" w:line="22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5"/>
          <w:szCs w:val="15"/>
          <w:color w:val="auto"/>
        </w:rPr>
        <w:t>In connection with the preparation of our condensed consolidated financial statements as of and for the quarter ended June 30, 2022, we determined the accounting for contingent features of substitute warrants issued in connection with the May 24, 2021 Merger Agreement (the “Merger”) between Big Rock Partners Acquisition Corp. (“BRPA”) and NeuroRx, Inc. (“NeuroRx”), that resulted in NeuroRx becoming a wholly-owned subsidiary of BRPA which was subsequently renamed NRx Pharmaceuticals, Inc. as reported in our previously filed Quarterly Reports on Form 10-Q as of and for the periods ended June 30, 2021 and September 30, 2021 (collectively the “Affected Periods”) was incorrect.</w:t>
      </w:r>
    </w:p>
    <w:p>
      <w:pPr>
        <w:spacing w:after="0" w:line="146"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5"/>
          <w:szCs w:val="15"/>
          <w:color w:val="auto"/>
        </w:rPr>
        <w:t>The error had no impact on our cash balances or operating cash flows for the Affected Periods. The error did not have a material impact on the Company's annual consolidated financial statements included in its 2021 Form 10-K.</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Certain substitute warrants were equity-classified at the time of the Merger. Rather, they should have been recognized at fair value as a liability-classified derivative instrument as of the date of the Merger. The impact of the error on our condensed consolidated statements of operations is approximately: (i) a $15.9 million reduction in the net loss from $16.0 million to $0.1 million for the three months ended June 30, 2021 and from approximately $41.5 million to $25.6 million for the six months ended June 30, 2021, and (ii) an increase in the net loss of approximately $16.3 million from approximately $20.8 million to $37.0 million for the three months ended September 30, 2021 and approximately $0.4 million from approximately $62.3 million to $62.7 million for the nine months ended September 30, 2021. The impact of the error on the Company’s condensed consolidated statement financial position as of June 30, 2021 is an increase to warrant liabilities of approximately $22.3 million, a decrease to additional paid-in capital of approximately $38.2 million and a decrease in accumulated deficit of approximately $15.9 million. The impact of the error on the Company’s condensed consolidated statement financial position as of September 30, 2021 is an increase to warrant liabilities of approximately $0.5 million, a decrease to additional paid-in capital of approximately $0.1 million and an increase in accumulated deficit of approximately $0.4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Internal Control Considerations</w:t>
      </w:r>
    </w:p>
    <w:p>
      <w:pPr>
        <w:spacing w:after="0" w:line="215"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5"/>
          <w:szCs w:val="15"/>
          <w:color w:val="auto"/>
        </w:rPr>
        <w:t>For a discussion of management’s consideration of our disclosure controls and procedures, internal controls over financial reporting, and the material weakness identified, see Part I, Item 4, “Controls and Procedures” of this Amended Form 10-Q/A.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906145</wp:posOffset>
            </wp:positionV>
            <wp:extent cx="63106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0630" cy="21590"/>
                    </a:xfrm>
                    <a:prstGeom prst="rect">
                      <a:avLst/>
                    </a:prstGeom>
                    <a:noFill/>
                  </pic:spPr>
                </pic:pic>
              </a:graphicData>
            </a:graphic>
          </wp:anchor>
        </w:drawing>
      </w:r>
    </w:p>
    <w:p>
      <w:pPr>
        <w:sectPr>
          <w:pgSz w:w="11900" w:h="16838" w:orient="portrait"/>
          <w:cols w:equalWidth="0" w:num="1">
            <w:col w:w="9940"/>
          </w:cols>
          <w:pgMar w:left="980" w:top="452" w:right="9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58"/>
        </w:trPr>
        <w:tc>
          <w:tcPr>
            <w:tcW w:w="9300" w:type="dxa"/>
            <w:vAlign w:val="bottom"/>
            <w:gridSpan w:val="19"/>
          </w:tcPr>
          <w:p>
            <w:pPr>
              <w:spacing w:after="0" w:line="158" w:lineRule="exact"/>
              <w:rPr>
                <w:sz w:val="20"/>
                <w:szCs w:val="20"/>
                <w:color w:val="auto"/>
              </w:rPr>
            </w:pPr>
            <w:r>
              <w:rPr>
                <w:rFonts w:ascii="Times New Roman" w:cs="Times New Roman" w:eastAsia="Times New Roman" w:hAnsi="Times New Roman"/>
                <w:sz w:val="15"/>
                <w:szCs w:val="15"/>
                <w:b w:val="1"/>
                <w:bCs w:val="1"/>
                <w:color w:val="0000EE"/>
              </w:rPr>
              <w:t>PART I - FINANCIAL INFORMATION</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5"/>
                <w:szCs w:val="15"/>
                <w:b w:val="1"/>
                <w:bCs w:val="1"/>
                <w:color w:val="0000EE"/>
              </w:rPr>
              <w:t>ITEM 1.</w:t>
            </w:r>
          </w:p>
        </w:tc>
        <w:tc>
          <w:tcPr>
            <w:tcW w:w="15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5"/>
                <w:szCs w:val="15"/>
                <w:color w:val="0000EE"/>
              </w:rPr>
              <w:t>Financial Statements</w:t>
            </w:r>
          </w:p>
        </w:tc>
        <w:tc>
          <w:tcPr>
            <w:tcW w:w="6700" w:type="dxa"/>
            <w:vAlign w:val="bottom"/>
            <w:gridSpan w:val="6"/>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Unaudited Condensed Consolidated Balance Sheets as of June 30, 2021 (as restated) and December 31, 2020</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5"/>
                <w:szCs w:val="15"/>
                <w:color w:val="0000EE"/>
                <w:w w:val="99"/>
              </w:rPr>
              <w:t>Unaudited Condensed Consolidated Statements of Operations for the three months and six months ended June 30, 2021 (as restated) and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0000EE"/>
            </w:tcBorders>
          </w:tcPr>
          <w:p>
            <w:pPr>
              <w:spacing w:after="0" w:line="161" w:lineRule="exact"/>
              <w:rPr>
                <w:sz w:val="20"/>
                <w:szCs w:val="20"/>
                <w:color w:val="auto"/>
              </w:rPr>
            </w:pPr>
            <w:r>
              <w:rPr>
                <w:rFonts w:ascii="Times New Roman" w:cs="Times New Roman" w:eastAsia="Times New Roman" w:hAnsi="Times New Roman"/>
                <w:sz w:val="15"/>
                <w:szCs w:val="15"/>
                <w:color w:val="0000EE"/>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5"/>
                <w:szCs w:val="15"/>
                <w:color w:val="0000EE"/>
              </w:rPr>
              <w:t>Unaudited Condensed Consolidated Statements of Changes in Stockholders' Equity (Deficit) for the six months ended June 30, 2021 (as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Borders>
              <w:bottom w:val="single" w:sz="8" w:color="0000EE"/>
            </w:tcBorders>
            <w:gridSpan w:val="5"/>
          </w:tcPr>
          <w:p>
            <w:pPr>
              <w:spacing w:after="0" w:line="161" w:lineRule="exact"/>
              <w:rPr>
                <w:sz w:val="20"/>
                <w:szCs w:val="20"/>
                <w:color w:val="auto"/>
              </w:rPr>
            </w:pPr>
            <w:r>
              <w:rPr>
                <w:rFonts w:ascii="Times New Roman" w:cs="Times New Roman" w:eastAsia="Times New Roman" w:hAnsi="Times New Roman"/>
                <w:sz w:val="15"/>
                <w:szCs w:val="15"/>
                <w:color w:val="0000EE"/>
              </w:rPr>
              <w:t>restated) and 2020</w:t>
            </w:r>
          </w:p>
        </w:tc>
        <w:tc>
          <w:tcPr>
            <w:tcW w:w="7040" w:type="dxa"/>
            <w:vAlign w:val="bottom"/>
            <w:gridSpan w:val="10"/>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5"/>
                <w:szCs w:val="15"/>
                <w:color w:val="0000EE"/>
              </w:rPr>
              <w:t>Unaudited Condensed Consolidated Statements of Cash Flows for the six months ended June 30, 2021 (as restated) and 2020</w:t>
            </w:r>
          </w:p>
        </w:tc>
        <w:tc>
          <w:tcPr>
            <w:tcW w:w="620" w:type="dxa"/>
            <w:vAlign w:val="bottom"/>
          </w:tcPr>
          <w:p>
            <w:pPr>
              <w:spacing w:after="0"/>
              <w:rPr>
                <w:sz w:val="17"/>
                <w:szCs w:val="17"/>
                <w:color w:val="auto"/>
              </w:rPr>
            </w:pPr>
          </w:p>
        </w:tc>
        <w:tc>
          <w:tcPr>
            <w:tcW w:w="6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5"/>
                <w:szCs w:val="15"/>
                <w:color w:val="0000EE"/>
                <w:w w:val="99"/>
              </w:rPr>
              <w:t>Notes to Unaudited Condensed Consolidated Financial Statements</w:t>
            </w:r>
          </w:p>
        </w:tc>
        <w:tc>
          <w:tcPr>
            <w:tcW w:w="4220" w:type="dxa"/>
            <w:vAlign w:val="bottom"/>
            <w:gridSpan w:val="4"/>
          </w:tcPr>
          <w:p>
            <w:pPr>
              <w:spacing w:after="0"/>
              <w:rPr>
                <w:sz w:val="17"/>
                <w:szCs w:val="17"/>
                <w:color w:val="auto"/>
              </w:rPr>
            </w:pPr>
          </w:p>
        </w:tc>
        <w:tc>
          <w:tcPr>
            <w:tcW w:w="6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0000EE"/>
                <w:w w:val="90"/>
              </w:rPr>
              <w:t>ITEM 2.</w:t>
            </w:r>
          </w:p>
        </w:tc>
        <w:tc>
          <w:tcPr>
            <w:tcW w:w="560" w:type="dxa"/>
            <w:vAlign w:val="bottom"/>
            <w:gridSpan w:val="3"/>
          </w:tcPr>
          <w:p>
            <w:pPr>
              <w:spacing w:after="0"/>
              <w:rPr>
                <w:sz w:val="17"/>
                <w:szCs w:val="17"/>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6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gridSpan w:val="2"/>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0000EE"/>
                <w:w w:val="90"/>
              </w:rPr>
              <w:t>ITEM 3.</w:t>
            </w:r>
          </w:p>
        </w:tc>
        <w:tc>
          <w:tcPr>
            <w:tcW w:w="560" w:type="dxa"/>
            <w:vAlign w:val="bottom"/>
            <w:gridSpan w:val="3"/>
          </w:tcPr>
          <w:p>
            <w:pPr>
              <w:spacing w:after="0"/>
              <w:rPr>
                <w:sz w:val="17"/>
                <w:szCs w:val="17"/>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Quantitative and Qualitative Disclosures About Market Risk</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00" w:type="dxa"/>
            <w:vAlign w:val="bottom"/>
            <w:tcBorders>
              <w:left w:val="single" w:sz="8" w:color="0000EE"/>
            </w:tcBorders>
            <w:gridSpan w:val="5"/>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0000EE"/>
                <w:w w:val="90"/>
              </w:rPr>
              <w:t>ITEM 4.</w:t>
            </w:r>
          </w:p>
        </w:tc>
        <w:tc>
          <w:tcPr>
            <w:tcW w:w="560" w:type="dxa"/>
            <w:vAlign w:val="bottom"/>
            <w:gridSpan w:val="3"/>
          </w:tcPr>
          <w:p>
            <w:pPr>
              <w:spacing w:after="0"/>
              <w:rPr>
                <w:sz w:val="17"/>
                <w:szCs w:val="17"/>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Controls and Procedures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3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5"/>
                <w:szCs w:val="15"/>
                <w:b w:val="1"/>
                <w:bCs w:val="1"/>
                <w:color w:val="0000EE"/>
                <w:w w:val="98"/>
              </w:rPr>
              <w:t>PART II - OTHER INFORMATION</w:t>
            </w:r>
          </w:p>
        </w:tc>
        <w:tc>
          <w:tcPr>
            <w:tcW w:w="6940" w:type="dxa"/>
            <w:vAlign w:val="bottom"/>
            <w:gridSpan w:val="8"/>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0000EE"/>
                <w:w w:val="90"/>
              </w:rPr>
              <w:t>ITEM 1.</w:t>
            </w:r>
          </w:p>
        </w:tc>
        <w:tc>
          <w:tcPr>
            <w:tcW w:w="560" w:type="dxa"/>
            <w:vAlign w:val="bottom"/>
            <w:gridSpan w:val="3"/>
          </w:tcPr>
          <w:p>
            <w:pPr>
              <w:spacing w:after="0"/>
              <w:rPr>
                <w:sz w:val="24"/>
                <w:szCs w:val="24"/>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line="20" w:lineRule="exact"/>
              <w:rPr>
                <w:sz w:val="1"/>
                <w:szCs w:val="1"/>
                <w:color w:val="auto"/>
              </w:rPr>
            </w:pPr>
          </w:p>
        </w:tc>
      </w:tr>
      <w:tr>
        <w:trPr>
          <w:trHeight w:val="205"/>
        </w:trPr>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0000EE"/>
                <w:w w:val="97"/>
              </w:rPr>
              <w:t>ITEM 1A.</w:t>
            </w:r>
          </w:p>
        </w:tc>
        <w:tc>
          <w:tcPr>
            <w:tcW w:w="440" w:type="dxa"/>
            <w:vAlign w:val="bottom"/>
            <w:gridSpan w:val="2"/>
          </w:tcPr>
          <w:p>
            <w:pPr>
              <w:spacing w:after="0"/>
              <w:rPr>
                <w:sz w:val="17"/>
                <w:szCs w:val="17"/>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Risk Factors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0000EE"/>
                <w:w w:val="90"/>
              </w:rPr>
              <w:t>ITEM 2.</w:t>
            </w: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Unregistered Sales of Equity Securities and Use of Proceeds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0000EE"/>
                <w:w w:val="90"/>
              </w:rPr>
              <w:t>ITEM 5.</w:t>
            </w:r>
          </w:p>
        </w:tc>
        <w:tc>
          <w:tcPr>
            <w:tcW w:w="560" w:type="dxa"/>
            <w:vAlign w:val="bottom"/>
            <w:gridSpan w:val="3"/>
          </w:tcPr>
          <w:p>
            <w:pPr>
              <w:spacing w:after="0"/>
              <w:rPr>
                <w:sz w:val="17"/>
                <w:szCs w:val="17"/>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Other Information</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0000EE"/>
                <w:w w:val="90"/>
              </w:rPr>
              <w:t>ITEM 6.</w:t>
            </w:r>
          </w:p>
        </w:tc>
        <w:tc>
          <w:tcPr>
            <w:tcW w:w="560" w:type="dxa"/>
            <w:vAlign w:val="bottom"/>
            <w:gridSpan w:val="3"/>
          </w:tcPr>
          <w:p>
            <w:pPr>
              <w:spacing w:after="0"/>
              <w:rPr>
                <w:sz w:val="17"/>
                <w:szCs w:val="17"/>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Exhibits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line="20" w:lineRule="exact"/>
              <w:rPr>
                <w:sz w:val="1"/>
                <w:szCs w:val="1"/>
                <w:color w:val="auto"/>
              </w:rPr>
            </w:pPr>
          </w:p>
        </w:tc>
      </w:tr>
      <w:tr>
        <w:trPr>
          <w:trHeight w:val="205"/>
        </w:trPr>
        <w:tc>
          <w:tcPr>
            <w:tcW w:w="11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0000EE"/>
              </w:rPr>
              <w:t>SIGNATURES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42"/>
        </w:trPr>
        <w:tc>
          <w:tcPr>
            <w:tcW w:w="5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52"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June 30, 2021 (As restated)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15"/>
        </w:trPr>
        <w:tc>
          <w:tcPr>
            <w:tcW w:w="69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r>
      <w:tr>
        <w:trPr>
          <w:trHeight w:val="180"/>
        </w:trPr>
        <w:tc>
          <w:tcPr>
            <w:tcW w:w="692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92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13,386,332</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1,858,513</w:t>
            </w:r>
          </w:p>
        </w:tc>
      </w:tr>
      <w:tr>
        <w:trPr>
          <w:trHeight w:val="166"/>
        </w:trPr>
        <w:tc>
          <w:tcPr>
            <w:tcW w:w="6920" w:type="dxa"/>
            <w:vAlign w:val="bottom"/>
          </w:tcPr>
          <w:p>
            <w:pPr>
              <w:ind w:left="80"/>
              <w:spacing w:after="0" w:line="166" w:lineRule="exact"/>
              <w:rPr>
                <w:sz w:val="20"/>
                <w:szCs w:val="20"/>
                <w:color w:val="auto"/>
              </w:rPr>
            </w:pPr>
            <w:r>
              <w:rPr>
                <w:rFonts w:ascii="Times New Roman" w:cs="Times New Roman" w:eastAsia="Times New Roman" w:hAnsi="Times New Roman"/>
                <w:sz w:val="15"/>
                <w:szCs w:val="15"/>
                <w:color w:val="auto"/>
              </w:rPr>
              <w:t>Account receivable, net of allowance of $5,470,897 and $257,463 as of June 30, 2021 and December 31, 2020,</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4"/>
        </w:trPr>
        <w:tc>
          <w:tcPr>
            <w:tcW w:w="69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respectively</w:t>
            </w:r>
          </w:p>
        </w:tc>
        <w:tc>
          <w:tcPr>
            <w:tcW w:w="12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831,390</w:t>
            </w:r>
          </w:p>
        </w:tc>
      </w:tr>
      <w:tr>
        <w:trPr>
          <w:trHeight w:val="181"/>
        </w:trPr>
        <w:tc>
          <w:tcPr>
            <w:tcW w:w="6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5,147,650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240,352</w:t>
            </w:r>
          </w:p>
        </w:tc>
      </w:tr>
      <w:tr>
        <w:trPr>
          <w:trHeight w:val="172"/>
        </w:trPr>
        <w:tc>
          <w:tcPr>
            <w:tcW w:w="69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assets</w:t>
            </w: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18,533,982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2,930,255</w:t>
            </w:r>
          </w:p>
        </w:tc>
      </w:tr>
      <w:tr>
        <w:trPr>
          <w:trHeight w:val="180"/>
        </w:trPr>
        <w:tc>
          <w:tcPr>
            <w:tcW w:w="6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assets</w:t>
            </w:r>
          </w:p>
        </w:tc>
        <w:tc>
          <w:tcPr>
            <w:tcW w:w="1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10,914</w:t>
            </w:r>
          </w:p>
        </w:tc>
      </w:tr>
      <w:tr>
        <w:trPr>
          <w:trHeight w:val="212"/>
        </w:trPr>
        <w:tc>
          <w:tcPr>
            <w:tcW w:w="6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18,546,712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2,941,169</w:t>
            </w:r>
          </w:p>
        </w:tc>
      </w:tr>
      <w:tr>
        <w:trPr>
          <w:trHeight w:val="154"/>
        </w:trPr>
        <w:tc>
          <w:tcPr>
            <w:tcW w:w="6920" w:type="dxa"/>
            <w:vAlign w:val="bottom"/>
            <w:shd w:val="clear" w:color="auto" w:fill="CCEEFF"/>
          </w:tcPr>
          <w:p>
            <w:pPr>
              <w:ind w:left="1380"/>
              <w:spacing w:after="0" w:line="154" w:lineRule="exact"/>
              <w:rPr>
                <w:sz w:val="20"/>
                <w:szCs w:val="20"/>
                <w:color w:val="auto"/>
              </w:rPr>
            </w:pPr>
            <w:r>
              <w:rPr>
                <w:rFonts w:ascii="Times New Roman" w:cs="Times New Roman" w:eastAsia="Times New Roman" w:hAnsi="Times New Roman"/>
                <w:sz w:val="15"/>
                <w:szCs w:val="15"/>
                <w:b w:val="1"/>
                <w:bCs w:val="1"/>
                <w:color w:val="auto"/>
              </w:rPr>
              <w:t>LIABILITIES AND STOCKHOLDERS’ EQUITY (DEFICIT)</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6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Current liabilities:</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Accounts payable (includes $44,201 and $149,067 due to related parties)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6,268,319</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3,153,310</w:t>
            </w:r>
          </w:p>
        </w:tc>
      </w:tr>
      <w:tr>
        <w:trPr>
          <w:trHeight w:val="180"/>
        </w:trPr>
        <w:tc>
          <w:tcPr>
            <w:tcW w:w="6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Accrued and other current liabilities</w:t>
            </w: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1,506,337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1,728,483</w:t>
            </w:r>
          </w:p>
        </w:tc>
      </w:tr>
      <w:tr>
        <w:trPr>
          <w:trHeight w:val="180"/>
        </w:trPr>
        <w:tc>
          <w:tcPr>
            <w:tcW w:w="6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Accrued clinical site costs</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1,133,312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1,547,432</w:t>
            </w:r>
          </w:p>
        </w:tc>
      </w:tr>
      <w:tr>
        <w:trPr>
          <w:trHeight w:val="180"/>
        </w:trPr>
        <w:tc>
          <w:tcPr>
            <w:tcW w:w="6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Earnout Cash liability</w:t>
            </w: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25,874,896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6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Warrant liabilities</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22,845,113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6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Notes payable and accrued interest</w:t>
            </w: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173,694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248,861</w:t>
            </w:r>
          </w:p>
        </w:tc>
      </w:tr>
      <w:tr>
        <w:trPr>
          <w:trHeight w:val="180"/>
        </w:trPr>
        <w:tc>
          <w:tcPr>
            <w:tcW w:w="6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Accrued settlement expense</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39,486,139</w:t>
            </w:r>
          </w:p>
        </w:tc>
      </w:tr>
      <w:tr>
        <w:trPr>
          <w:trHeight w:val="172"/>
        </w:trPr>
        <w:tc>
          <w:tcPr>
            <w:tcW w:w="69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57,801,671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46,164,225</w:t>
            </w:r>
          </w:p>
        </w:tc>
      </w:tr>
      <w:tr>
        <w:trPr>
          <w:trHeight w:val="180"/>
        </w:trPr>
        <w:tc>
          <w:tcPr>
            <w:tcW w:w="6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Notes payable and accrued interest</w:t>
            </w:r>
          </w:p>
        </w:tc>
        <w:tc>
          <w:tcPr>
            <w:tcW w:w="1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512,472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547,827</w:t>
            </w:r>
          </w:p>
        </w:tc>
      </w:tr>
      <w:tr>
        <w:trPr>
          <w:trHeight w:val="172"/>
        </w:trPr>
        <w:tc>
          <w:tcPr>
            <w:tcW w:w="6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58,314,143</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46,712,052</w:t>
            </w:r>
          </w:p>
        </w:tc>
      </w:tr>
      <w:tr>
        <w:trPr>
          <w:trHeight w:val="17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Stockholders’ equity (deficit):</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6"/>
        </w:trPr>
        <w:tc>
          <w:tcPr>
            <w:tcW w:w="69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Preferred stock, $0.001 par value, 50,000,000 shares authorized; 0 shares issued and outstanding at June 30,</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4"/>
        </w:trPr>
        <w:tc>
          <w:tcPr>
            <w:tcW w:w="69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2021 and December 31, 2020, respectively</w:t>
            </w:r>
          </w:p>
        </w:tc>
        <w:tc>
          <w:tcPr>
            <w:tcW w:w="12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66"/>
        </w:trPr>
        <w:tc>
          <w:tcPr>
            <w:tcW w:w="69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Common stock, $0.001 par value, 500,000,000 shares authorized; 48,603,585 and 42,973,462 shares issued and</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5"/>
        </w:trPr>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outstanding at June 30, 2021 and December 31, 2020, respectively</w:t>
            </w: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48,604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42,974</w:t>
            </w:r>
          </w:p>
        </w:tc>
      </w:tr>
      <w:tr>
        <w:trPr>
          <w:trHeight w:val="180"/>
        </w:trPr>
        <w:tc>
          <w:tcPr>
            <w:tcW w:w="6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75,970,172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46,365,863</w:t>
            </w:r>
          </w:p>
        </w:tc>
      </w:tr>
      <w:tr>
        <w:trPr>
          <w:trHeight w:val="180"/>
        </w:trPr>
        <w:tc>
          <w:tcPr>
            <w:tcW w:w="6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Accumulated deficit</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(115,786,207)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(90,179,720)</w:t>
            </w:r>
          </w:p>
        </w:tc>
      </w:tr>
      <w:tr>
        <w:trPr>
          <w:trHeight w:val="172"/>
        </w:trPr>
        <w:tc>
          <w:tcPr>
            <w:tcW w:w="6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Total stockholders’ equity (deficit)</w:t>
            </w:r>
          </w:p>
        </w:tc>
        <w:tc>
          <w:tcPr>
            <w:tcW w:w="12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(39,767,431)</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(43,770,883)</w:t>
            </w:r>
          </w:p>
        </w:tc>
      </w:tr>
      <w:tr>
        <w:trPr>
          <w:trHeight w:val="172"/>
        </w:trPr>
        <w:tc>
          <w:tcPr>
            <w:tcW w:w="6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18,546,712</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2,941,169</w:t>
            </w: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63106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0630" cy="21590"/>
                    </a:xfrm>
                    <a:prstGeom prst="rect">
                      <a:avLst/>
                    </a:prstGeom>
                    <a:noFill/>
                  </pic:spPr>
                </pic:pic>
              </a:graphicData>
            </a:graphic>
          </wp:anchor>
        </w:drawing>
      </w:r>
    </w:p>
    <w:p>
      <w:pPr>
        <w:sectPr>
          <w:pgSz w:w="11900" w:h="16838" w:orient="portrait"/>
          <w:cols w:equalWidth="0" w:num="1">
            <w:col w:w="9940"/>
          </w:cols>
          <w:pgMar w:left="980" w:top="452"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6"/>
          </w:tcPr>
          <w:p>
            <w:pPr>
              <w:ind w:left="4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00" w:type="dxa"/>
            <w:vAlign w:val="bottom"/>
          </w:tcPr>
          <w:p>
            <w:pPr>
              <w:spacing w:after="0"/>
              <w:rPr>
                <w:sz w:val="12"/>
                <w:szCs w:val="12"/>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740" w:type="dxa"/>
            <w:vAlign w:val="bottom"/>
          </w:tcPr>
          <w:p>
            <w:pPr>
              <w:spacing w:after="0"/>
              <w:rPr>
                <w:sz w:val="12"/>
                <w:szCs w:val="12"/>
                <w:color w:val="auto"/>
              </w:rPr>
            </w:pPr>
          </w:p>
        </w:tc>
      </w:tr>
      <w:tr>
        <w:trPr>
          <w:trHeight w:val="146"/>
        </w:trPr>
        <w:tc>
          <w:tcPr>
            <w:tcW w:w="50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40" w:type="dxa"/>
            <w:vAlign w:val="bottom"/>
            <w:tcBorders>
              <w:bottom w:val="single" w:sz="8" w:color="auto"/>
            </w:tcBorders>
          </w:tcPr>
          <w:p>
            <w:pPr>
              <w:spacing w:after="0"/>
              <w:rPr>
                <w:sz w:val="12"/>
                <w:szCs w:val="12"/>
                <w:color w:val="auto"/>
              </w:rPr>
            </w:pPr>
          </w:p>
        </w:tc>
      </w:tr>
      <w:tr>
        <w:trPr>
          <w:trHeight w:val="115"/>
        </w:trPr>
        <w:tc>
          <w:tcPr>
            <w:tcW w:w="50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87"/>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87"/>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46"/>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r>
      <w:tr>
        <w:trPr>
          <w:trHeight w:val="17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0"/>
        </w:trPr>
        <w:tc>
          <w:tcPr>
            <w:tcW w:w="5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4,659,280</w:t>
            </w:r>
          </w:p>
        </w:tc>
        <w:tc>
          <w:tcPr>
            <w:tcW w:w="80" w:type="dxa"/>
            <w:vAlign w:val="bottom"/>
          </w:tcPr>
          <w:p>
            <w:pPr>
              <w:spacing w:after="0"/>
              <w:rPr>
                <w:sz w:val="15"/>
                <w:szCs w:val="15"/>
                <w:color w:val="auto"/>
              </w:rPr>
            </w:pPr>
          </w:p>
        </w:tc>
        <w:tc>
          <w:tcPr>
            <w:tcW w:w="26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1,390,376</w:t>
            </w:r>
          </w:p>
        </w:tc>
        <w:tc>
          <w:tcPr>
            <w:tcW w:w="14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7,567,984</w:t>
            </w:r>
          </w:p>
        </w:tc>
        <w:tc>
          <w:tcPr>
            <w:tcW w:w="80" w:type="dxa"/>
            <w:vAlign w:val="bottom"/>
          </w:tcPr>
          <w:p>
            <w:pPr>
              <w:spacing w:after="0"/>
              <w:rPr>
                <w:sz w:val="15"/>
                <w:szCs w:val="15"/>
                <w:color w:val="auto"/>
              </w:rPr>
            </w:pPr>
          </w:p>
        </w:tc>
        <w:tc>
          <w:tcPr>
            <w:tcW w:w="400" w:type="dxa"/>
            <w:vAlign w:val="bottom"/>
            <w:gridSpan w:val="2"/>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1,994,709</w:t>
            </w:r>
          </w:p>
        </w:tc>
      </w:tr>
      <w:tr>
        <w:trPr>
          <w:trHeight w:val="18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12,457,534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525,736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14,558,936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1,141,390</w:t>
            </w:r>
          </w:p>
        </w:tc>
      </w:tr>
      <w:tr>
        <w:trPr>
          <w:trHeight w:val="180"/>
        </w:trPr>
        <w:tc>
          <w:tcPr>
            <w:tcW w:w="5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Settlement expense</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21,365,641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Reimbursement of expenses from Relief Therapeutics</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(2,020,931)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(771,244)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(2,020,931)</w:t>
            </w:r>
          </w:p>
        </w:tc>
      </w:tr>
      <w:tr>
        <w:trPr>
          <w:trHeight w:val="172"/>
        </w:trPr>
        <w:tc>
          <w:tcPr>
            <w:tcW w:w="5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17,116,814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(104,819)</w:t>
            </w:r>
          </w:p>
        </w:tc>
        <w:tc>
          <w:tcPr>
            <w:tcW w:w="14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42,721,317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1,115,168</w:t>
            </w:r>
          </w:p>
        </w:tc>
      </w:tr>
      <w:tr>
        <w:trPr>
          <w:trHeight w:val="17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(17,116,814)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104,819</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(42,721,317)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(1,115,168)</w:t>
            </w:r>
          </w:p>
        </w:tc>
      </w:tr>
      <w:tr>
        <w:trPr>
          <w:trHeight w:val="172"/>
        </w:trPr>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38,800</w:t>
            </w:r>
          </w:p>
        </w:tc>
      </w:tr>
      <w:tr>
        <w:trPr>
          <w:trHeight w:val="18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(17,359,009)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(17,359,009)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Change in fair value of Earnout Cash liability</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354,701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354,701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 in fair value of embedded put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27,160</w:t>
            </w:r>
          </w:p>
        </w:tc>
      </w:tr>
      <w:tr>
        <w:trPr>
          <w:trHeight w:val="180"/>
        </w:trPr>
        <w:tc>
          <w:tcPr>
            <w:tcW w:w="5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Loss on conversion of convertible notes payable</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306,641</w:t>
            </w:r>
          </w:p>
        </w:tc>
      </w:tr>
      <w:tr>
        <w:trPr>
          <w:trHeight w:val="172"/>
        </w:trPr>
        <w:tc>
          <w:tcPr>
            <w:tcW w:w="50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other (income) expenses</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(16,999,201)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2,532</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(17,114,830)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372,601</w:t>
            </w:r>
          </w:p>
        </w:tc>
      </w:tr>
      <w:tr>
        <w:trPr>
          <w:trHeight w:val="172"/>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Income (loss) before tax</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(117,613)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102,287</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(25,606,487)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(1,487,769)</w:t>
            </w:r>
          </w:p>
        </w:tc>
      </w:tr>
      <w:tr>
        <w:trPr>
          <w:trHeight w:val="172"/>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102,287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(25,606,487)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(1,487,769)</w:t>
            </w:r>
          </w:p>
        </w:tc>
      </w:tr>
      <w:tr>
        <w:trPr>
          <w:trHeight w:val="180"/>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Deemed dividend</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(255,822,071)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(255,822,071)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income (loss) attributable to common stockholders</w:t>
            </w: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(255,939,684)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102,287</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(281,428,558)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(1,487,769)</w:t>
            </w:r>
          </w:p>
        </w:tc>
      </w:tr>
      <w:tr>
        <w:trPr>
          <w:trHeight w:val="154"/>
        </w:trPr>
        <w:tc>
          <w:tcPr>
            <w:tcW w:w="50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Net earnings (loss) per share:</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80"/>
        </w:trPr>
        <w:tc>
          <w:tcPr>
            <w:tcW w:w="50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Basic</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(0.66)</w:t>
            </w:r>
          </w:p>
        </w:tc>
        <w:tc>
          <w:tcPr>
            <w:tcW w:w="400" w:type="dxa"/>
            <w:vAlign w:val="bottom"/>
            <w:gridSpan w:val="2"/>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r>
      <w:tr>
        <w:trPr>
          <w:trHeight w:val="180"/>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Diluted</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(0.41)</w:t>
            </w:r>
          </w:p>
        </w:tc>
        <w:tc>
          <w:tcPr>
            <w:tcW w:w="2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(1.10)</w:t>
            </w:r>
          </w:p>
        </w:tc>
        <w:tc>
          <w:tcPr>
            <w:tcW w:w="40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r>
      <w:tr>
        <w:trPr>
          <w:trHeight w:val="180"/>
        </w:trPr>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Net earnings (loss) per share attributable to common stockholders: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Basic</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(6.13)</w:t>
            </w:r>
          </w:p>
        </w:tc>
        <w:tc>
          <w:tcPr>
            <w:tcW w:w="2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(7.27)</w:t>
            </w:r>
          </w:p>
        </w:tc>
        <w:tc>
          <w:tcPr>
            <w:tcW w:w="40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r>
      <w:tr>
        <w:trPr>
          <w:trHeight w:val="180"/>
        </w:trPr>
        <w:tc>
          <w:tcPr>
            <w:tcW w:w="50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Diluted</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(6.43)</w:t>
            </w:r>
          </w:p>
        </w:tc>
        <w:tc>
          <w:tcPr>
            <w:tcW w:w="26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(7.63)</w:t>
            </w:r>
          </w:p>
        </w:tc>
        <w:tc>
          <w:tcPr>
            <w:tcW w:w="400" w:type="dxa"/>
            <w:vAlign w:val="bottom"/>
            <w:gridSpan w:val="2"/>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r>
      <w:tr>
        <w:trPr>
          <w:trHeight w:val="18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0"/>
        </w:trPr>
        <w:tc>
          <w:tcPr>
            <w:tcW w:w="50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Basic</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41,727,480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33,819,205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38,709,614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33,799,503</w:t>
            </w:r>
          </w:p>
        </w:tc>
      </w:tr>
      <w:tr>
        <w:trPr>
          <w:trHeight w:val="180"/>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Diluted</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42,494,386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36,656,420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39,140,261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33,799,503</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631063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0630" cy="14605"/>
                    </a:xfrm>
                    <a:prstGeom prst="rect">
                      <a:avLst/>
                    </a:prstGeom>
                    <a:noFill/>
                  </pic:spPr>
                </pic:pic>
              </a:graphicData>
            </a:graphic>
          </wp:anchor>
        </w:drawing>
      </w:r>
    </w:p>
    <w:p>
      <w:pPr>
        <w:sectPr>
          <w:pgSz w:w="11900" w:h="16838" w:orient="portrait"/>
          <w:cols w:equalWidth="0" w:num="1">
            <w:col w:w="9940"/>
          </w:cols>
          <w:pgMar w:left="980" w:top="452"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NRX PHARMACEUTICALS, INC.</w:t>
      </w:r>
    </w:p>
    <w:p>
      <w:pPr>
        <w:jc w:val="center"/>
        <w:ind w:right="600"/>
        <w:spacing w:after="0" w:line="218" w:lineRule="auto"/>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 (DEFICIT)</w:t>
      </w:r>
    </w:p>
    <w:p>
      <w:pPr>
        <w:jc w:val="center"/>
        <w:ind w:right="600"/>
        <w:spacing w:after="0" w:line="236" w:lineRule="auto"/>
        <w:rPr>
          <w:sz w:val="20"/>
          <w:szCs w:val="20"/>
          <w:color w:val="auto"/>
        </w:rPr>
      </w:pPr>
      <w:r>
        <w:rPr>
          <w:rFonts w:ascii="Times New Roman" w:cs="Times New Roman" w:eastAsia="Times New Roman" w:hAnsi="Times New Roman"/>
          <w:sz w:val="12"/>
          <w:szCs w:val="12"/>
          <w:b w:val="1"/>
          <w:bCs w:val="1"/>
          <w:color w:val="auto"/>
        </w:rPr>
        <w:t>(Unaudited)</w:t>
      </w:r>
    </w:p>
    <w:tbl>
      <w:tblPr>
        <w:tblLayout w:type="fixed"/>
        <w:tblInd w:w="0" w:type="dxa"/>
        <w:tblCellMar>
          <w:top w:w="0" w:type="dxa"/>
          <w:left w:w="0" w:type="dxa"/>
          <w:bottom w:w="0" w:type="dxa"/>
          <w:right w:w="0" w:type="dxa"/>
        </w:tblCellMar>
      </w:tblPr>
      <w:tr>
        <w:trPr>
          <w:trHeight w:val="108"/>
        </w:trPr>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Series A Convertible</w:t>
            </w:r>
          </w:p>
        </w:tc>
        <w:tc>
          <w:tcPr>
            <w:tcW w:w="13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Series B-1A Convertible</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60" w:type="dxa"/>
            <w:vAlign w:val="bottom"/>
            <w:gridSpan w:val="8"/>
          </w:tcPr>
          <w:p>
            <w:pPr>
              <w:jc w:val="center"/>
              <w:ind w:right="140"/>
              <w:spacing w:after="0" w:line="108" w:lineRule="exact"/>
              <w:rPr>
                <w:sz w:val="20"/>
                <w:szCs w:val="20"/>
                <w:color w:val="auto"/>
              </w:rPr>
            </w:pPr>
            <w:r>
              <w:rPr>
                <w:rFonts w:ascii="Times New Roman" w:cs="Times New Roman" w:eastAsia="Times New Roman" w:hAnsi="Times New Roman"/>
                <w:sz w:val="12"/>
                <w:szCs w:val="12"/>
                <w:b w:val="1"/>
                <w:bCs w:val="1"/>
                <w:color w:val="auto"/>
              </w:rPr>
              <w:t>Six months ended June 30, 2021</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1280" w:type="dxa"/>
            <w:vAlign w:val="bottom"/>
            <w:gridSpan w:val="5"/>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Series B-1 Convertible</w:t>
            </w:r>
          </w:p>
        </w:tc>
        <w:tc>
          <w:tcPr>
            <w:tcW w:w="1400" w:type="dxa"/>
            <w:vAlign w:val="bottom"/>
            <w:gridSpan w:val="6"/>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rPr>
              <w:t>Series B-2 Convertible</w:t>
            </w:r>
          </w:p>
        </w:tc>
        <w:tc>
          <w:tcPr>
            <w:tcW w:w="11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40" w:type="dxa"/>
            <w:vAlign w:val="bottom"/>
          </w:tcPr>
          <w:p>
            <w:pPr>
              <w:spacing w:after="0"/>
              <w:rPr>
                <w:sz w:val="12"/>
                <w:szCs w:val="12"/>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20" w:type="dxa"/>
            <w:vAlign w:val="bottom"/>
          </w:tcPr>
          <w:p>
            <w:pPr>
              <w:spacing w:after="0"/>
              <w:rPr>
                <w:sz w:val="12"/>
                <w:szCs w:val="12"/>
                <w:color w:val="auto"/>
              </w:rPr>
            </w:pP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20" w:type="dxa"/>
            <w:vAlign w:val="bottom"/>
          </w:tcPr>
          <w:p>
            <w:pPr>
              <w:spacing w:after="0"/>
              <w:rPr>
                <w:sz w:val="12"/>
                <w:szCs w:val="12"/>
                <w:color w:val="auto"/>
              </w:rPr>
            </w:pPr>
          </w:p>
        </w:tc>
        <w:tc>
          <w:tcPr>
            <w:tcW w:w="1280" w:type="dxa"/>
            <w:vAlign w:val="bottom"/>
            <w:gridSpan w:val="5"/>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15"/>
        </w:trPr>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jc w:val="right"/>
              <w:ind w:right="6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540" w:type="dxa"/>
            <w:vAlign w:val="bottom"/>
            <w:tcBorders>
              <w:top w:val="single" w:sz="8" w:color="auto"/>
            </w:tcBorders>
            <w:gridSpan w:val="3"/>
          </w:tcPr>
          <w:p>
            <w:pPr>
              <w:ind w:left="120"/>
              <w:spacing w:after="0" w:line="115"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140" w:type="dxa"/>
            <w:vAlign w:val="bottom"/>
          </w:tcPr>
          <w:p>
            <w:pPr>
              <w:spacing w:after="0"/>
              <w:rPr>
                <w:sz w:val="10"/>
                <w:szCs w:val="10"/>
                <w:color w:val="auto"/>
              </w:rPr>
            </w:pPr>
          </w:p>
        </w:tc>
        <w:tc>
          <w:tcPr>
            <w:tcW w:w="500" w:type="dxa"/>
            <w:vAlign w:val="bottom"/>
            <w:tcBorders>
              <w:top w:val="single" w:sz="8" w:color="auto"/>
            </w:tcBorders>
          </w:tcPr>
          <w:p>
            <w:pPr>
              <w:jc w:val="right"/>
              <w:ind w:right="2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0"/>
              <w:spacing w:after="0" w:line="115"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0"/>
                <w:szCs w:val="10"/>
                <w:color w:val="auto"/>
              </w:rPr>
            </w:pPr>
          </w:p>
        </w:tc>
        <w:tc>
          <w:tcPr>
            <w:tcW w:w="580" w:type="dxa"/>
            <w:vAlign w:val="bottom"/>
            <w:tcBorders>
              <w:top w:val="single" w:sz="8" w:color="auto"/>
            </w:tcBorders>
          </w:tcPr>
          <w:p>
            <w:pPr>
              <w:jc w:val="right"/>
              <w:ind w:right="6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0"/>
                <w:szCs w:val="10"/>
                <w:color w:val="auto"/>
              </w:rPr>
            </w:pPr>
          </w:p>
        </w:tc>
        <w:tc>
          <w:tcPr>
            <w:tcW w:w="480" w:type="dxa"/>
            <w:vAlign w:val="bottom"/>
            <w:tcBorders>
              <w:top w:val="single" w:sz="8" w:color="auto"/>
            </w:tcBorders>
          </w:tcPr>
          <w:p>
            <w:pPr>
              <w:jc w:val="right"/>
              <w:ind w:right="2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20"/>
              <w:spacing w:after="0" w:line="115"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0"/>
                <w:szCs w:val="10"/>
                <w:color w:val="auto"/>
              </w:rPr>
            </w:pPr>
          </w:p>
        </w:tc>
        <w:tc>
          <w:tcPr>
            <w:tcW w:w="580" w:type="dxa"/>
            <w:vAlign w:val="bottom"/>
            <w:tcBorders>
              <w:top w:val="single" w:sz="8" w:color="auto"/>
            </w:tcBorders>
          </w:tcPr>
          <w:p>
            <w:pPr>
              <w:jc w:val="right"/>
              <w:ind w:right="6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2"/>
                <w:szCs w:val="12"/>
                <w:b w:val="1"/>
                <w:bCs w:val="1"/>
                <w:color w:val="auto"/>
                <w:w w:val="99"/>
              </w:rPr>
              <w:t>Deficit</w:t>
            </w:r>
          </w:p>
        </w:tc>
        <w:tc>
          <w:tcPr>
            <w:tcW w:w="68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b w:val="1"/>
                <w:bCs w:val="1"/>
                <w:color w:val="auto"/>
                <w:w w:val="92"/>
              </w:rPr>
              <w:t>Equity (Defici</w:t>
            </w:r>
          </w:p>
        </w:tc>
        <w:tc>
          <w:tcPr>
            <w:tcW w:w="0" w:type="dxa"/>
            <w:vAlign w:val="bottom"/>
          </w:tcPr>
          <w:p>
            <w:pPr>
              <w:spacing w:after="0"/>
              <w:rPr>
                <w:sz w:val="1"/>
                <w:szCs w:val="1"/>
                <w:color w:val="auto"/>
              </w:rPr>
            </w:pPr>
          </w:p>
        </w:tc>
      </w:tr>
      <w:tr>
        <w:trPr>
          <w:trHeight w:val="20"/>
        </w:trPr>
        <w:tc>
          <w:tcPr>
            <w:tcW w:w="1920" w:type="dxa"/>
            <w:vAlign w:val="bottom"/>
            <w:vMerge w:val="restart"/>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Balance - December 31, 2020 (as</w:t>
            </w: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20" w:type="dxa"/>
            <w:vAlign w:val="bottom"/>
            <w:vMerge w:val="continue"/>
            <w:shd w:val="clear" w:color="auto" w:fill="CCEEFF"/>
          </w:tcPr>
          <w:p>
            <w:pPr>
              <w:spacing w:after="0"/>
              <w:rPr>
                <w:sz w:val="7"/>
                <w:szCs w:val="7"/>
                <w:color w:val="auto"/>
              </w:rPr>
            </w:pPr>
          </w:p>
        </w:tc>
        <w:tc>
          <w:tcPr>
            <w:tcW w:w="80" w:type="dxa"/>
            <w:vAlign w:val="bottom"/>
            <w:vMerge w:val="restart"/>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316,848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1,050,695</w:t>
            </w:r>
          </w:p>
        </w:tc>
        <w:tc>
          <w:tcPr>
            <w:tcW w:w="2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11,227,676</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$ 11,228</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46,387,649</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(90,179,720)</w:t>
            </w:r>
          </w:p>
        </w:tc>
        <w:tc>
          <w:tcPr>
            <w:tcW w:w="140" w:type="dxa"/>
            <w:vAlign w:val="bottom"/>
            <w:tcBorders>
              <w:right w:val="single" w:sz="8" w:color="CCEEFF"/>
            </w:tcBorders>
            <w:shd w:val="clear" w:color="auto" w:fill="CCEEFF"/>
          </w:tcPr>
          <w:p>
            <w:pPr>
              <w:spacing w:after="0"/>
              <w:rPr>
                <w:sz w:val="7"/>
                <w:szCs w:val="7"/>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(43,778,47</w:t>
            </w:r>
          </w:p>
        </w:tc>
        <w:tc>
          <w:tcPr>
            <w:tcW w:w="0" w:type="dxa"/>
            <w:vAlign w:val="bottom"/>
          </w:tcPr>
          <w:p>
            <w:pPr>
              <w:spacing w:after="0"/>
              <w:rPr>
                <w:sz w:val="1"/>
                <w:szCs w:val="1"/>
                <w:color w:val="auto"/>
              </w:rPr>
            </w:pPr>
          </w:p>
        </w:tc>
      </w:tr>
      <w:tr>
        <w:trPr>
          <w:trHeight w:val="146"/>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previously reported)</w:t>
            </w:r>
          </w:p>
        </w:tc>
        <w:tc>
          <w:tcPr>
            <w:tcW w:w="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Retroactive application of reverse</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7"/>
              </w:rPr>
              <w:t>(1,000)</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(316,848)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(1,050,695)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7"/>
              </w:rPr>
              <w:t>(1,050)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6"/>
              </w:rPr>
              <w:t>31,745,786</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31,746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(21,786)</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0" w:type="dxa"/>
            <w:vAlign w:val="bottom"/>
          </w:tcPr>
          <w:p>
            <w:pPr>
              <w:spacing w:after="0"/>
              <w:rPr>
                <w:sz w:val="1"/>
                <w:szCs w:val="1"/>
                <w:color w:val="auto"/>
              </w:rPr>
            </w:pPr>
          </w:p>
        </w:tc>
      </w:tr>
      <w:tr>
        <w:trPr>
          <w:trHeight w:val="142"/>
        </w:trPr>
        <w:tc>
          <w:tcPr>
            <w:tcW w:w="1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recapitalization (Note 5)</w:t>
            </w: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92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Balance - December 31, 2020, effect</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42,973,462</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$42,974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46,365,863</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(90,179,720)</w:t>
            </w: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(43,770,88</w:t>
            </w:r>
          </w:p>
        </w:tc>
        <w:tc>
          <w:tcPr>
            <w:tcW w:w="0" w:type="dxa"/>
            <w:vAlign w:val="bottom"/>
          </w:tcPr>
          <w:p>
            <w:pPr>
              <w:spacing w:after="0"/>
              <w:rPr>
                <w:sz w:val="1"/>
                <w:szCs w:val="1"/>
                <w:color w:val="auto"/>
              </w:rPr>
            </w:pPr>
          </w:p>
        </w:tc>
      </w:tr>
      <w:tr>
        <w:trPr>
          <w:trHeight w:val="146"/>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of Merger (Note 5)</w:t>
            </w: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Common stock issued</w:t>
            </w:r>
          </w:p>
        </w:tc>
        <w:tc>
          <w:tcPr>
            <w:tcW w:w="8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333,121</w:t>
            </w:r>
          </w:p>
        </w:tc>
        <w:tc>
          <w:tcPr>
            <w:tcW w:w="5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333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6,926,753</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6,927,08</w:t>
            </w:r>
          </w:p>
        </w:tc>
        <w:tc>
          <w:tcPr>
            <w:tcW w:w="0" w:type="dxa"/>
            <w:vAlign w:val="bottom"/>
          </w:tcPr>
          <w:p>
            <w:pPr>
              <w:spacing w:after="0"/>
              <w:rPr>
                <w:sz w:val="1"/>
                <w:szCs w:val="1"/>
                <w:color w:val="auto"/>
              </w:rPr>
            </w:pPr>
          </w:p>
        </w:tc>
      </w:tr>
      <w:tr>
        <w:trPr>
          <w:trHeight w:val="106"/>
        </w:trPr>
        <w:tc>
          <w:tcPr>
            <w:tcW w:w="19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Proceeds from issuance of common</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1,496,216</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7,498,522</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7,500,01</w:t>
            </w:r>
          </w:p>
        </w:tc>
        <w:tc>
          <w:tcPr>
            <w:tcW w:w="0" w:type="dxa"/>
            <w:vAlign w:val="bottom"/>
          </w:tcPr>
          <w:p>
            <w:pPr>
              <w:spacing w:after="0"/>
              <w:rPr>
                <w:sz w:val="1"/>
                <w:szCs w:val="1"/>
                <w:color w:val="auto"/>
              </w:rPr>
            </w:pPr>
          </w:p>
        </w:tc>
      </w:tr>
      <w:tr>
        <w:trPr>
          <w:trHeight w:val="142"/>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 for exercise of warrant</w:t>
            </w: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Reclassification of settlement liability</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60,851,779</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60,851,77</w:t>
            </w:r>
          </w:p>
        </w:tc>
        <w:tc>
          <w:tcPr>
            <w:tcW w:w="0" w:type="dxa"/>
            <w:vAlign w:val="bottom"/>
          </w:tcPr>
          <w:p>
            <w:pPr>
              <w:spacing w:after="0"/>
              <w:rPr>
                <w:sz w:val="1"/>
                <w:szCs w:val="1"/>
                <w:color w:val="auto"/>
              </w:rPr>
            </w:pPr>
          </w:p>
        </w:tc>
      </w:tr>
      <w:tr>
        <w:trPr>
          <w:trHeight w:val="142"/>
        </w:trPr>
        <w:tc>
          <w:tcPr>
            <w:tcW w:w="1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upon issuance of warrant</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Stock-based compensation</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371,698</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371,69</w:t>
            </w:r>
          </w:p>
        </w:tc>
        <w:tc>
          <w:tcPr>
            <w:tcW w:w="0" w:type="dxa"/>
            <w:vAlign w:val="bottom"/>
          </w:tcPr>
          <w:p>
            <w:pPr>
              <w:spacing w:after="0"/>
              <w:rPr>
                <w:sz w:val="1"/>
                <w:szCs w:val="1"/>
                <w:color w:val="auto"/>
              </w:rPr>
            </w:pPr>
          </w:p>
        </w:tc>
      </w:tr>
      <w:tr>
        <w:trPr>
          <w:trHeight w:val="124"/>
        </w:trPr>
        <w:tc>
          <w:tcPr>
            <w:tcW w:w="19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Net loss</w:t>
            </w:r>
          </w:p>
        </w:tc>
        <w:tc>
          <w:tcPr>
            <w:tcW w:w="8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(25,488,874)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(25,488,87</w:t>
            </w:r>
          </w:p>
        </w:tc>
        <w:tc>
          <w:tcPr>
            <w:tcW w:w="0" w:type="dxa"/>
            <w:vAlign w:val="bottom"/>
          </w:tcPr>
          <w:p>
            <w:pPr>
              <w:spacing w:after="0"/>
              <w:rPr>
                <w:sz w:val="1"/>
                <w:szCs w:val="1"/>
                <w:color w:val="auto"/>
              </w:rPr>
            </w:pPr>
          </w:p>
        </w:tc>
      </w:tr>
      <w:tr>
        <w:trPr>
          <w:trHeight w:val="115"/>
        </w:trPr>
        <w:tc>
          <w:tcPr>
            <w:tcW w:w="19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Balance - March 31, 2021</w:t>
            </w: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6"/>
              </w:rPr>
              <w:t>44,802,799</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2"/>
              </w:rPr>
              <w:t>$44,803</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6"/>
              </w:rPr>
              <w:t>122,014,615</w:t>
            </w: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6"/>
              </w:rPr>
              <w:t>(115,668,594)</w:t>
            </w: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6,390,82</w:t>
            </w:r>
          </w:p>
        </w:tc>
        <w:tc>
          <w:tcPr>
            <w:tcW w:w="0" w:type="dxa"/>
            <w:vAlign w:val="bottom"/>
          </w:tcPr>
          <w:p>
            <w:pPr>
              <w:spacing w:after="0"/>
              <w:rPr>
                <w:sz w:val="1"/>
                <w:szCs w:val="1"/>
                <w:color w:val="auto"/>
              </w:rPr>
            </w:pPr>
          </w:p>
        </w:tc>
      </w:tr>
      <w:tr>
        <w:trPr>
          <w:trHeight w:val="124"/>
        </w:trPr>
        <w:tc>
          <w:tcPr>
            <w:tcW w:w="19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Common stock issued</w:t>
            </w:r>
          </w:p>
        </w:tc>
        <w:tc>
          <w:tcPr>
            <w:tcW w:w="8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71,056</w:t>
            </w:r>
          </w:p>
        </w:tc>
        <w:tc>
          <w:tcPr>
            <w:tcW w:w="5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71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1,562,201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1,562,27</w:t>
            </w:r>
          </w:p>
        </w:tc>
        <w:tc>
          <w:tcPr>
            <w:tcW w:w="0" w:type="dxa"/>
            <w:vAlign w:val="bottom"/>
          </w:tcPr>
          <w:p>
            <w:pPr>
              <w:spacing w:after="0"/>
              <w:rPr>
                <w:sz w:val="1"/>
                <w:szCs w:val="1"/>
                <w:color w:val="auto"/>
              </w:rPr>
            </w:pPr>
          </w:p>
        </w:tc>
      </w:tr>
      <w:tr>
        <w:trPr>
          <w:trHeight w:val="106"/>
        </w:trPr>
        <w:tc>
          <w:tcPr>
            <w:tcW w:w="19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Effect of Merger and recapitalization,</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92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net of redemptions and issuance</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2,529,730</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(64,838,774)</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(64,836,24</w:t>
            </w:r>
          </w:p>
        </w:tc>
        <w:tc>
          <w:tcPr>
            <w:tcW w:w="0" w:type="dxa"/>
            <w:vAlign w:val="bottom"/>
          </w:tcPr>
          <w:p>
            <w:pPr>
              <w:spacing w:after="0"/>
              <w:rPr>
                <w:sz w:val="1"/>
                <w:szCs w:val="1"/>
                <w:color w:val="auto"/>
              </w:rPr>
            </w:pPr>
          </w:p>
        </w:tc>
      </w:tr>
      <w:tr>
        <w:trPr>
          <w:trHeight w:val="142"/>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costs of $1,412,846 (As restated)</w:t>
            </w: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Common stock issued pursuant to</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92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PIPE financing, net of issuance</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8,099,000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8,100,00</w:t>
            </w:r>
          </w:p>
        </w:tc>
        <w:tc>
          <w:tcPr>
            <w:tcW w:w="0" w:type="dxa"/>
            <w:vAlign w:val="bottom"/>
          </w:tcPr>
          <w:p>
            <w:pPr>
              <w:spacing w:after="0"/>
              <w:rPr>
                <w:sz w:val="1"/>
                <w:szCs w:val="1"/>
                <w:color w:val="auto"/>
              </w:rPr>
            </w:pPr>
          </w:p>
        </w:tc>
      </w:tr>
      <w:tr>
        <w:trPr>
          <w:trHeight w:val="142"/>
        </w:trPr>
        <w:tc>
          <w:tcPr>
            <w:tcW w:w="1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costs of $1,900,000</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9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Common stock issued for advisor</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4,849,800</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4,850,00</w:t>
            </w:r>
          </w:p>
        </w:tc>
        <w:tc>
          <w:tcPr>
            <w:tcW w:w="0" w:type="dxa"/>
            <w:vAlign w:val="bottom"/>
          </w:tcPr>
          <w:p>
            <w:pPr>
              <w:spacing w:after="0"/>
              <w:rPr>
                <w:sz w:val="1"/>
                <w:szCs w:val="1"/>
                <w:color w:val="auto"/>
              </w:rPr>
            </w:pPr>
          </w:p>
        </w:tc>
      </w:tr>
      <w:tr>
        <w:trPr>
          <w:trHeight w:val="142"/>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services</w:t>
            </w: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Modification of option awards</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1,014,640</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1,014,64</w:t>
            </w:r>
          </w:p>
        </w:tc>
        <w:tc>
          <w:tcPr>
            <w:tcW w:w="0" w:type="dxa"/>
            <w:vAlign w:val="bottom"/>
          </w:tcPr>
          <w:p>
            <w:pPr>
              <w:spacing w:after="0"/>
              <w:rPr>
                <w:sz w:val="1"/>
                <w:szCs w:val="1"/>
                <w:color w:val="auto"/>
              </w:rPr>
            </w:pPr>
          </w:p>
        </w:tc>
      </w:tr>
      <w:tr>
        <w:trPr>
          <w:trHeight w:val="142"/>
        </w:trPr>
        <w:tc>
          <w:tcPr>
            <w:tcW w:w="1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pursuant to Merger</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9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Modification of warrants pursuant to</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2,330,572</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2,330,57</w:t>
            </w:r>
          </w:p>
        </w:tc>
        <w:tc>
          <w:tcPr>
            <w:tcW w:w="0" w:type="dxa"/>
            <w:vAlign w:val="bottom"/>
          </w:tcPr>
          <w:p>
            <w:pPr>
              <w:spacing w:after="0"/>
              <w:rPr>
                <w:sz w:val="1"/>
                <w:szCs w:val="1"/>
                <w:color w:val="auto"/>
              </w:rPr>
            </w:pPr>
          </w:p>
        </w:tc>
      </w:tr>
      <w:tr>
        <w:trPr>
          <w:trHeight w:val="142"/>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Merger (Note 11)</w:t>
            </w: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Stock-based compensation</w:t>
            </w:r>
          </w:p>
        </w:tc>
        <w:tc>
          <w:tcPr>
            <w:tcW w:w="8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938,118</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938,11</w:t>
            </w:r>
          </w:p>
        </w:tc>
        <w:tc>
          <w:tcPr>
            <w:tcW w:w="0" w:type="dxa"/>
            <w:vAlign w:val="bottom"/>
          </w:tcPr>
          <w:p>
            <w:pPr>
              <w:spacing w:after="0"/>
              <w:rPr>
                <w:sz w:val="1"/>
                <w:szCs w:val="1"/>
                <w:color w:val="auto"/>
              </w:rPr>
            </w:pPr>
          </w:p>
        </w:tc>
      </w:tr>
      <w:tr>
        <w:trPr>
          <w:trHeight w:val="124"/>
        </w:trPr>
        <w:tc>
          <w:tcPr>
            <w:tcW w:w="19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Net loss (As restated)</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(117,613)</w:t>
            </w: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(117,61</w:t>
            </w:r>
          </w:p>
        </w:tc>
        <w:tc>
          <w:tcPr>
            <w:tcW w:w="0" w:type="dxa"/>
            <w:vAlign w:val="bottom"/>
          </w:tcPr>
          <w:p>
            <w:pPr>
              <w:spacing w:after="0"/>
              <w:rPr>
                <w:sz w:val="1"/>
                <w:szCs w:val="1"/>
                <w:color w:val="auto"/>
              </w:rPr>
            </w:pPr>
          </w:p>
        </w:tc>
      </w:tr>
      <w:tr>
        <w:trPr>
          <w:trHeight w:val="115"/>
        </w:trPr>
        <w:tc>
          <w:tcPr>
            <w:tcW w:w="1920" w:type="dxa"/>
            <w:vAlign w:val="bottom"/>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 xml:space="preserve">Balance - June 30, 2021 </w:t>
            </w:r>
            <w:r>
              <w:rPr>
                <w:rFonts w:ascii="Times New Roman" w:cs="Times New Roman" w:eastAsia="Times New Roman" w:hAnsi="Times New Roman"/>
                <w:sz w:val="12"/>
                <w:szCs w:val="12"/>
                <w:color w:val="auto"/>
              </w:rPr>
              <w:t>(As restated)</w:t>
            </w:r>
          </w:p>
        </w:tc>
        <w:tc>
          <w:tcPr>
            <w:tcW w:w="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6"/>
              </w:rPr>
              <w:t>48,603,585</w:t>
            </w:r>
          </w:p>
        </w:tc>
        <w:tc>
          <w:tcPr>
            <w:tcW w:w="14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u w:val="single" w:color="auto"/>
                <w:color w:val="auto"/>
                <w:w w:val="92"/>
              </w:rPr>
              <w:t>$</w:t>
            </w:r>
            <w:r>
              <w:rPr>
                <w:rFonts w:ascii="Times New Roman" w:cs="Times New Roman" w:eastAsia="Times New Roman" w:hAnsi="Times New Roman"/>
                <w:sz w:val="12"/>
                <w:szCs w:val="12"/>
                <w:b w:val="1"/>
                <w:bCs w:val="1"/>
                <w:color w:val="auto"/>
                <w:w w:val="92"/>
              </w:rPr>
              <w:t>48,604</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75,970,172</w:t>
            </w:r>
          </w:p>
        </w:tc>
        <w:tc>
          <w:tcPr>
            <w:tcW w:w="14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u w:val="single" w:color="auto"/>
                <w:color w:val="auto"/>
                <w:w w:val="78"/>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6"/>
              </w:rPr>
              <w:t>(115,786,207)</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(39,767,43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consolidated financial statements.</w:t>
      </w:r>
    </w:p>
    <w:p>
      <w:pPr>
        <w:spacing w:after="0" w:line="3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650367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3670" cy="14605"/>
                    </a:xfrm>
                    <a:prstGeom prst="rect">
                      <a:avLst/>
                    </a:prstGeom>
                    <a:noFill/>
                  </pic:spPr>
                </pic:pic>
              </a:graphicData>
            </a:graphic>
          </wp:anchor>
        </w:drawing>
      </w:r>
    </w:p>
    <w:p>
      <w:pPr>
        <w:sectPr>
          <w:pgSz w:w="11900" w:h="16838" w:orient="portrait"/>
          <w:cols w:equalWidth="0" w:num="1">
            <w:col w:w="10840"/>
          </w:cols>
          <w:pgMar w:left="820" w:top="452"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Series A Convertible</w:t>
            </w:r>
          </w:p>
        </w:tc>
        <w:tc>
          <w:tcPr>
            <w:tcW w:w="14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Series B-1A Convertible</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8"/>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Six months ended June 30, 2020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4"/>
        </w:trPr>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420" w:type="dxa"/>
            <w:vAlign w:val="bottom"/>
            <w:gridSpan w:val="6"/>
            <w:vMerge w:val="continue"/>
          </w:tcPr>
          <w:p>
            <w:pPr>
              <w:spacing w:after="0"/>
              <w:rPr>
                <w:sz w:val="10"/>
                <w:szCs w:val="10"/>
                <w:color w:val="auto"/>
              </w:rPr>
            </w:pPr>
          </w:p>
        </w:tc>
        <w:tc>
          <w:tcPr>
            <w:tcW w:w="1220" w:type="dxa"/>
            <w:vAlign w:val="bottom"/>
            <w:gridSpan w:val="5"/>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Series B-1 Convertible</w:t>
            </w:r>
          </w:p>
        </w:tc>
        <w:tc>
          <w:tcPr>
            <w:tcW w:w="1400" w:type="dxa"/>
            <w:vAlign w:val="bottom"/>
            <w:gridSpan w:val="6"/>
          </w:tcPr>
          <w:p>
            <w:pPr>
              <w:ind w:left="120"/>
              <w:spacing w:after="0" w:line="124" w:lineRule="exact"/>
              <w:rPr>
                <w:sz w:val="20"/>
                <w:szCs w:val="20"/>
                <w:color w:val="auto"/>
              </w:rPr>
            </w:pPr>
            <w:r>
              <w:rPr>
                <w:rFonts w:ascii="Times New Roman" w:cs="Times New Roman" w:eastAsia="Times New Roman" w:hAnsi="Times New Roman"/>
                <w:sz w:val="12"/>
                <w:szCs w:val="12"/>
                <w:b w:val="1"/>
                <w:bCs w:val="1"/>
                <w:color w:val="auto"/>
              </w:rPr>
              <w:t>Series B-2 Convertible</w:t>
            </w:r>
          </w:p>
        </w:tc>
        <w:tc>
          <w:tcPr>
            <w:tcW w:w="11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20" w:type="dxa"/>
            <w:vAlign w:val="bottom"/>
          </w:tcPr>
          <w:p>
            <w:pPr>
              <w:spacing w:after="0"/>
              <w:rPr>
                <w:sz w:val="12"/>
                <w:szCs w:val="12"/>
                <w:color w:val="auto"/>
              </w:rPr>
            </w:pPr>
          </w:p>
        </w:tc>
        <w:tc>
          <w:tcPr>
            <w:tcW w:w="130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60" w:type="dxa"/>
            <w:vAlign w:val="bottom"/>
          </w:tcPr>
          <w:p>
            <w:pPr>
              <w:spacing w:after="0"/>
              <w:rPr>
                <w:sz w:val="12"/>
                <w:szCs w:val="12"/>
                <w:color w:val="auto"/>
              </w:rPr>
            </w:pP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20" w:type="dxa"/>
            <w:vAlign w:val="bottom"/>
          </w:tcPr>
          <w:p>
            <w:pPr>
              <w:spacing w:after="0"/>
              <w:rPr>
                <w:sz w:val="12"/>
                <w:szCs w:val="12"/>
                <w:color w:val="auto"/>
              </w:rPr>
            </w:pPr>
          </w:p>
        </w:tc>
        <w:tc>
          <w:tcPr>
            <w:tcW w:w="1280" w:type="dxa"/>
            <w:vAlign w:val="bottom"/>
            <w:gridSpan w:val="5"/>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tcBorders>
          </w:tcPr>
          <w:p>
            <w:pPr>
              <w:jc w:val="right"/>
              <w:ind w:right="4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tcBorders>
              <w:top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0"/>
                <w:szCs w:val="10"/>
                <w:color w:val="auto"/>
              </w:rPr>
            </w:pPr>
          </w:p>
        </w:tc>
        <w:tc>
          <w:tcPr>
            <w:tcW w:w="520" w:type="dxa"/>
            <w:vAlign w:val="bottom"/>
            <w:tcBorders>
              <w:top w:val="single" w:sz="8" w:color="auto"/>
            </w:tcBorders>
          </w:tcPr>
          <w:p>
            <w:pPr>
              <w:jc w:val="right"/>
              <w:ind w:right="4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tcPr>
          <w:p>
            <w:pPr>
              <w:jc w:val="right"/>
              <w:ind w:right="6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0"/>
                <w:szCs w:val="10"/>
                <w:color w:val="auto"/>
              </w:rPr>
            </w:pPr>
          </w:p>
        </w:tc>
        <w:tc>
          <w:tcPr>
            <w:tcW w:w="480" w:type="dxa"/>
            <w:vAlign w:val="bottom"/>
            <w:tcBorders>
              <w:top w:val="single" w:sz="8" w:color="auto"/>
            </w:tcBorders>
          </w:tcPr>
          <w:p>
            <w:pPr>
              <w:jc w:val="right"/>
              <w:ind w:right="2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140" w:type="dxa"/>
            <w:vAlign w:val="bottom"/>
          </w:tcPr>
          <w:p>
            <w:pPr>
              <w:spacing w:after="0"/>
              <w:rPr>
                <w:sz w:val="10"/>
                <w:szCs w:val="10"/>
                <w:color w:val="auto"/>
              </w:rPr>
            </w:pPr>
          </w:p>
        </w:tc>
        <w:tc>
          <w:tcPr>
            <w:tcW w:w="580" w:type="dxa"/>
            <w:vAlign w:val="bottom"/>
            <w:tcBorders>
              <w:top w:val="single" w:sz="8" w:color="auto"/>
            </w:tcBorders>
          </w:tcPr>
          <w:p>
            <w:pPr>
              <w:jc w:val="right"/>
              <w:ind w:right="6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0"/>
                <w:szCs w:val="10"/>
                <w:color w:val="auto"/>
              </w:rPr>
            </w:pPr>
          </w:p>
        </w:tc>
        <w:tc>
          <w:tcPr>
            <w:tcW w:w="66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20"/>
              <w:spacing w:after="0" w:line="115"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0"/>
                <w:szCs w:val="10"/>
                <w:color w:val="auto"/>
              </w:rPr>
            </w:pPr>
          </w:p>
        </w:tc>
        <w:tc>
          <w:tcPr>
            <w:tcW w:w="8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Equity (Deficit)</w:t>
            </w:r>
          </w:p>
        </w:tc>
        <w:tc>
          <w:tcPr>
            <w:tcW w:w="0" w:type="dxa"/>
            <w:vAlign w:val="bottom"/>
          </w:tcPr>
          <w:p>
            <w:pPr>
              <w:spacing w:after="0"/>
              <w:rPr>
                <w:sz w:val="1"/>
                <w:szCs w:val="1"/>
                <w:color w:val="auto"/>
              </w:rPr>
            </w:pPr>
          </w:p>
        </w:tc>
      </w:tr>
      <w:tr>
        <w:trPr>
          <w:trHeight w:val="82"/>
        </w:trPr>
        <w:tc>
          <w:tcPr>
            <w:tcW w:w="1320" w:type="dxa"/>
            <w:vAlign w:val="bottom"/>
            <w:tcBorders>
              <w:top w:val="single" w:sz="8" w:color="CCEEFF"/>
            </w:tcBorders>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auto"/>
              </w:rPr>
              <w:t>Balance - December 31,</w:t>
            </w:r>
          </w:p>
        </w:tc>
        <w:tc>
          <w:tcPr>
            <w:tcW w:w="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b w:val="1"/>
                <w:bCs w:val="1"/>
                <w:color w:val="auto"/>
              </w:rPr>
              <w:t>2019 (as previously</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316,848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w w:val="99"/>
              </w:rPr>
              <w:t>317</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1,050,695</w:t>
            </w:r>
          </w:p>
        </w:tc>
        <w:tc>
          <w:tcPr>
            <w:tcW w:w="2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10,686,191</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$10,686</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$ 33,538,813</w:t>
            </w:r>
          </w:p>
        </w:tc>
        <w:tc>
          <w:tcPr>
            <w:tcW w:w="1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(38,402,816)</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(4,850,950)</w:t>
            </w:r>
          </w:p>
        </w:tc>
        <w:tc>
          <w:tcPr>
            <w:tcW w:w="0" w:type="dxa"/>
            <w:vAlign w:val="bottom"/>
          </w:tcPr>
          <w:p>
            <w:pPr>
              <w:spacing w:after="0"/>
              <w:rPr>
                <w:sz w:val="1"/>
                <w:szCs w:val="1"/>
                <w:color w:val="auto"/>
              </w:rPr>
            </w:pPr>
          </w:p>
        </w:tc>
      </w:tr>
      <w:tr>
        <w:trPr>
          <w:trHeight w:val="146"/>
        </w:trPr>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62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3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Retroactive application of</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32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reverse recapitalization</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7"/>
              </w:rPr>
              <w:t>(1,000)</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(316,848)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center"/>
              <w:ind w:left="160"/>
              <w:spacing w:after="0"/>
              <w:rPr>
                <w:sz w:val="20"/>
                <w:szCs w:val="20"/>
                <w:color w:val="auto"/>
              </w:rPr>
            </w:pPr>
            <w:r>
              <w:rPr>
                <w:rFonts w:ascii="Times New Roman" w:cs="Times New Roman" w:eastAsia="Times New Roman" w:hAnsi="Times New Roman"/>
                <w:sz w:val="12"/>
                <w:szCs w:val="12"/>
                <w:color w:val="auto"/>
                <w:w w:val="99"/>
              </w:rPr>
              <w:t>(317)</w:t>
            </w:r>
          </w:p>
        </w:tc>
        <w:tc>
          <w:tcPr>
            <w:tcW w:w="6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(1,050,695)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7"/>
              </w:rPr>
              <w:t>(1,050)</w:t>
            </w:r>
          </w:p>
        </w:tc>
        <w:tc>
          <w:tcPr>
            <w:tcW w:w="120" w:type="dxa"/>
            <w:vAlign w:val="bottom"/>
          </w:tcPr>
          <w:p>
            <w:pPr>
              <w:spacing w:after="0"/>
              <w:rPr>
                <w:sz w:val="10"/>
                <w:szCs w:val="10"/>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6"/>
              </w:rPr>
              <w:t>30,563,009</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30,563</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(20,651)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7,545</w:t>
            </w:r>
          </w:p>
        </w:tc>
        <w:tc>
          <w:tcPr>
            <w:tcW w:w="0" w:type="dxa"/>
            <w:vAlign w:val="bottom"/>
          </w:tcPr>
          <w:p>
            <w:pPr>
              <w:spacing w:after="0"/>
              <w:rPr>
                <w:sz w:val="1"/>
                <w:szCs w:val="1"/>
                <w:color w:val="auto"/>
              </w:rPr>
            </w:pPr>
          </w:p>
        </w:tc>
      </w:tr>
      <w:tr>
        <w:trPr>
          <w:trHeight w:val="142"/>
        </w:trPr>
        <w:tc>
          <w:tcPr>
            <w:tcW w:w="1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(Note 5)</w:t>
            </w: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20" w:type="dxa"/>
            <w:vAlign w:val="bottom"/>
            <w:tcBorders>
              <w:top w:val="single" w:sz="8" w:color="CCEEFF"/>
            </w:tcBorders>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auto"/>
              </w:rPr>
              <w:t>Balance - December 31,</w:t>
            </w:r>
          </w:p>
        </w:tc>
        <w:tc>
          <w:tcPr>
            <w:tcW w:w="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b w:val="1"/>
                <w:bCs w:val="1"/>
                <w:color w:val="auto"/>
              </w:rPr>
              <w:t>2019, effect of Merger</w:t>
            </w: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vMerge w:val="restart"/>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41,249,200</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$41,249</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$ 33,518,162</w:t>
            </w:r>
          </w:p>
        </w:tc>
        <w:tc>
          <w:tcPr>
            <w:tcW w:w="1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(38,402,816)</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(4,843,405)</w:t>
            </w:r>
          </w:p>
        </w:tc>
        <w:tc>
          <w:tcPr>
            <w:tcW w:w="0" w:type="dxa"/>
            <w:vAlign w:val="bottom"/>
          </w:tcPr>
          <w:p>
            <w:pPr>
              <w:spacing w:after="0"/>
              <w:rPr>
                <w:sz w:val="1"/>
                <w:szCs w:val="1"/>
                <w:color w:val="auto"/>
              </w:rPr>
            </w:pPr>
          </w:p>
        </w:tc>
      </w:tr>
      <w:tr>
        <w:trPr>
          <w:trHeight w:val="146"/>
        </w:trPr>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(Note 5)</w:t>
            </w: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Common stock issued</w:t>
            </w:r>
          </w:p>
        </w:tc>
        <w:tc>
          <w:tcPr>
            <w:tcW w:w="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2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left="1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0"/>
                <w:szCs w:val="10"/>
                <w:color w:val="auto"/>
              </w:rPr>
            </w:pPr>
          </w:p>
        </w:tc>
        <w:tc>
          <w:tcPr>
            <w:tcW w:w="58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8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50,844</w:t>
            </w:r>
          </w:p>
        </w:tc>
        <w:tc>
          <w:tcPr>
            <w:tcW w:w="5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51</w:t>
            </w:r>
          </w:p>
        </w:tc>
        <w:tc>
          <w:tcPr>
            <w:tcW w:w="7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176,974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177,025</w:t>
            </w:r>
          </w:p>
        </w:tc>
        <w:tc>
          <w:tcPr>
            <w:tcW w:w="0" w:type="dxa"/>
            <w:vAlign w:val="bottom"/>
          </w:tcPr>
          <w:p>
            <w:pPr>
              <w:spacing w:after="0"/>
              <w:rPr>
                <w:sz w:val="1"/>
                <w:szCs w:val="1"/>
                <w:color w:val="auto"/>
              </w:rPr>
            </w:pPr>
          </w:p>
        </w:tc>
      </w:tr>
      <w:tr>
        <w:trPr>
          <w:trHeight w:val="106"/>
        </w:trPr>
        <w:tc>
          <w:tcPr>
            <w:tcW w:w="13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Series B-2 convertible</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13,168</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50,013</w:t>
            </w:r>
          </w:p>
        </w:tc>
        <w:tc>
          <w:tcPr>
            <w:tcW w:w="0" w:type="dxa"/>
            <w:vAlign w:val="bottom"/>
          </w:tcPr>
          <w:p>
            <w:pPr>
              <w:spacing w:after="0"/>
              <w:rPr>
                <w:sz w:val="1"/>
                <w:szCs w:val="1"/>
                <w:color w:val="auto"/>
              </w:rPr>
            </w:pPr>
          </w:p>
        </w:tc>
      </w:tr>
      <w:tr>
        <w:trPr>
          <w:trHeight w:val="142"/>
        </w:trPr>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preferred stock issued</w:t>
            </w: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3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Stock-based</w:t>
            </w:r>
          </w:p>
        </w:tc>
        <w:tc>
          <w:tcPr>
            <w:tcW w:w="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52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center"/>
              <w:ind w:lef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9"/>
                <w:szCs w:val="9"/>
                <w:color w:val="auto"/>
              </w:rPr>
            </w:pPr>
          </w:p>
        </w:tc>
        <w:tc>
          <w:tcPr>
            <w:tcW w:w="5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88,803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88,803</w:t>
            </w:r>
          </w:p>
        </w:tc>
        <w:tc>
          <w:tcPr>
            <w:tcW w:w="0" w:type="dxa"/>
            <w:vAlign w:val="bottom"/>
          </w:tcPr>
          <w:p>
            <w:pPr>
              <w:spacing w:after="0"/>
              <w:rPr>
                <w:sz w:val="1"/>
                <w:szCs w:val="1"/>
                <w:color w:val="auto"/>
              </w:rPr>
            </w:pPr>
          </w:p>
        </w:tc>
      </w:tr>
      <w:tr>
        <w:trPr>
          <w:trHeight w:val="142"/>
        </w:trPr>
        <w:tc>
          <w:tcPr>
            <w:tcW w:w="1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compensation</w:t>
            </w: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Net loss</w:t>
            </w:r>
          </w:p>
        </w:tc>
        <w:tc>
          <w:tcPr>
            <w:tcW w:w="6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center"/>
              <w:ind w:left="1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(1,590,056)</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(1,590,056)</w:t>
            </w:r>
          </w:p>
        </w:tc>
        <w:tc>
          <w:tcPr>
            <w:tcW w:w="0" w:type="dxa"/>
            <w:vAlign w:val="bottom"/>
          </w:tcPr>
          <w:p>
            <w:pPr>
              <w:spacing w:after="0"/>
              <w:rPr>
                <w:sz w:val="1"/>
                <w:szCs w:val="1"/>
                <w:color w:val="auto"/>
              </w:rPr>
            </w:pPr>
          </w:p>
        </w:tc>
      </w:tr>
      <w:tr>
        <w:trPr>
          <w:trHeight w:val="82"/>
        </w:trPr>
        <w:tc>
          <w:tcPr>
            <w:tcW w:w="1320" w:type="dxa"/>
            <w:vAlign w:val="bottom"/>
          </w:tcPr>
          <w:p>
            <w:pPr>
              <w:spacing w:after="0" w:line="82" w:lineRule="exact"/>
              <w:rPr>
                <w:sz w:val="20"/>
                <w:szCs w:val="20"/>
                <w:color w:val="auto"/>
              </w:rPr>
            </w:pPr>
            <w:r>
              <w:rPr>
                <w:rFonts w:ascii="Times New Roman" w:cs="Times New Roman" w:eastAsia="Times New Roman" w:hAnsi="Times New Roman"/>
                <w:sz w:val="9"/>
                <w:szCs w:val="9"/>
                <w:b w:val="1"/>
                <w:bCs w:val="1"/>
                <w:color w:val="auto"/>
              </w:rPr>
              <w:t>Balance - March 31,</w:t>
            </w:r>
          </w:p>
        </w:tc>
        <w:tc>
          <w:tcPr>
            <w:tcW w:w="6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41,313,212</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$41,313</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$ 33,833,939</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(39,992,872)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(6,117,620)</w:t>
            </w:r>
          </w:p>
        </w:tc>
        <w:tc>
          <w:tcPr>
            <w:tcW w:w="0" w:type="dxa"/>
            <w:vAlign w:val="bottom"/>
          </w:tcPr>
          <w:p>
            <w:pPr>
              <w:spacing w:after="0"/>
              <w:rPr>
                <w:sz w:val="1"/>
                <w:szCs w:val="1"/>
                <w:color w:val="auto"/>
              </w:rPr>
            </w:pPr>
          </w:p>
        </w:tc>
      </w:tr>
      <w:tr>
        <w:trPr>
          <w:trHeight w:val="146"/>
        </w:trPr>
        <w:tc>
          <w:tcPr>
            <w:tcW w:w="13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3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Stock-based</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93,466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93,466</w:t>
            </w:r>
          </w:p>
        </w:tc>
        <w:tc>
          <w:tcPr>
            <w:tcW w:w="0" w:type="dxa"/>
            <w:vAlign w:val="bottom"/>
          </w:tcPr>
          <w:p>
            <w:pPr>
              <w:spacing w:after="0"/>
              <w:rPr>
                <w:sz w:val="1"/>
                <w:szCs w:val="1"/>
                <w:color w:val="auto"/>
              </w:rPr>
            </w:pPr>
          </w:p>
        </w:tc>
      </w:tr>
      <w:tr>
        <w:trPr>
          <w:trHeight w:val="142"/>
        </w:trPr>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compensation</w:t>
            </w: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Net income</w:t>
            </w:r>
          </w:p>
        </w:tc>
        <w:tc>
          <w:tcPr>
            <w:tcW w:w="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52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lef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0"/>
                <w:szCs w:val="10"/>
                <w:color w:val="auto"/>
              </w:rPr>
            </w:pPr>
          </w:p>
        </w:tc>
        <w:tc>
          <w:tcPr>
            <w:tcW w:w="58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48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102,287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102,287</w:t>
            </w:r>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Balance - June 30, 2020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shd w:val="clear" w:color="auto" w:fill="CCEEFF"/>
          </w:tcPr>
          <w:p>
            <w:pPr>
              <w:ind w:left="340"/>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shd w:val="clear" w:color="auto" w:fill="CCEEFF"/>
          </w:tcPr>
          <w:p>
            <w:pPr>
              <w:ind w:left="320"/>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6"/>
              </w:rPr>
              <w:t>41,313,212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41,313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u w:val="single" w:color="auto"/>
                <w:color w:val="auto"/>
                <w:w w:val="95"/>
              </w:rPr>
              <w:t>$</w:t>
            </w:r>
            <w:r>
              <w:rPr>
                <w:rFonts w:ascii="Times New Roman" w:cs="Times New Roman" w:eastAsia="Times New Roman" w:hAnsi="Times New Roman"/>
                <w:sz w:val="12"/>
                <w:szCs w:val="12"/>
                <w:b w:val="1"/>
                <w:bCs w:val="1"/>
                <w:color w:val="auto"/>
                <w:w w:val="95"/>
              </w:rPr>
              <w:t xml:space="preserve"> 33,927,405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9"/>
              </w:rPr>
              <w:t>(39,890,585)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(5,921,867)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650367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3670" cy="14605"/>
                    </a:xfrm>
                    <a:prstGeom prst="rect">
                      <a:avLst/>
                    </a:prstGeom>
                    <a:noFill/>
                  </pic:spPr>
                </pic:pic>
              </a:graphicData>
            </a:graphic>
          </wp:anchor>
        </w:drawing>
      </w:r>
    </w:p>
    <w:p>
      <w:pPr>
        <w:sectPr>
          <w:pgSz w:w="11900" w:h="16838" w:orient="portrait"/>
          <w:cols w:equalWidth="0" w:num="1">
            <w:col w:w="10260"/>
          </w:cols>
          <w:pgMar w:left="820" w:top="452" w:right="8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5"/>
          </w:tcPr>
          <w:p>
            <w:pPr>
              <w:jc w:val="right"/>
              <w:ind w:right="565"/>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15"/>
        </w:trPr>
        <w:tc>
          <w:tcPr>
            <w:tcW w:w="5840" w:type="dxa"/>
            <w:vAlign w:val="bottom"/>
            <w:tcBorders>
              <w:bottom w:val="single" w:sz="8" w:color="CCEEFF"/>
            </w:tcBorders>
          </w:tcPr>
          <w:p>
            <w:pPr>
              <w:spacing w:after="0"/>
              <w:rPr>
                <w:sz w:val="10"/>
                <w:szCs w:val="10"/>
                <w:color w:val="auto"/>
              </w:rPr>
            </w:pPr>
          </w:p>
        </w:tc>
        <w:tc>
          <w:tcPr>
            <w:tcW w:w="15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06"/>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05"/>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r>
      <w:tr>
        <w:trPr>
          <w:trHeight w:val="17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68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(25,606,487)</w:t>
            </w:r>
          </w:p>
        </w:tc>
        <w:tc>
          <w:tcPr>
            <w:tcW w:w="40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(1,487,769)</w:t>
            </w:r>
          </w:p>
        </w:tc>
      </w:tr>
      <w:tr>
        <w:trPr>
          <w:trHeight w:val="18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Depreciation expense</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4,655,028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182,269</w:t>
            </w:r>
          </w:p>
        </w:tc>
      </w:tr>
      <w:tr>
        <w:trPr>
          <w:trHeight w:val="180"/>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(120,810)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(17,359,009)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Change in fair value of Earnout Cash liability</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354,701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Change in fair value of embedded put</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27,160</w:t>
            </w:r>
          </w:p>
        </w:tc>
      </w:tr>
      <w:tr>
        <w:trPr>
          <w:trHeight w:val="180"/>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16,454</w:t>
            </w:r>
          </w:p>
        </w:tc>
      </w:tr>
      <w:tr>
        <w:trPr>
          <w:trHeight w:val="180"/>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Non-cash interest expense</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26,992</w:t>
            </w:r>
          </w:p>
        </w:tc>
      </w:tr>
      <w:tr>
        <w:trPr>
          <w:trHeight w:val="180"/>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Non-cash settlement expense</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21,365,641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Non-cash consulting expense</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Loss on conversion of notes payable</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306,641</w:t>
            </w:r>
          </w:p>
        </w:tc>
      </w:tr>
      <w:tr>
        <w:trPr>
          <w:trHeight w:val="18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Accounts receivable</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831,390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(314,222)</w:t>
            </w:r>
          </w:p>
        </w:tc>
      </w:tr>
      <w:tr>
        <w:trPr>
          <w:trHeight w:val="180"/>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(4,847,806)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(46,760)</w:t>
            </w:r>
          </w:p>
        </w:tc>
      </w:tr>
      <w:tr>
        <w:trPr>
          <w:trHeight w:val="180"/>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Accounts payable</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2,562,762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562,409</w:t>
            </w:r>
          </w:p>
        </w:tc>
      </w:tr>
      <w:tr>
        <w:trPr>
          <w:trHeight w:val="180"/>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(1,104,791)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(1,446)</w:t>
            </w:r>
          </w:p>
        </w:tc>
      </w:tr>
      <w:tr>
        <w:trPr>
          <w:trHeight w:val="172"/>
        </w:trPr>
        <w:tc>
          <w:tcPr>
            <w:tcW w:w="5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5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(14,408,126)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(728,272)</w:t>
            </w:r>
          </w:p>
        </w:tc>
      </w:tr>
      <w:tr>
        <w:trPr>
          <w:trHeight w:val="17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Purchase of computer equipment</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(2,783)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5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5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notes payable</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619,842</w:t>
            </w:r>
          </w:p>
        </w:tc>
      </w:tr>
      <w:tr>
        <w:trPr>
          <w:trHeight w:val="180"/>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series B-2 Preferred stock</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50,004</w:t>
            </w:r>
          </w:p>
        </w:tc>
      </w:tr>
      <w:tr>
        <w:trPr>
          <w:trHeight w:val="18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common stock, net of transaction costs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8,489,082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176,990</w:t>
            </w:r>
          </w:p>
        </w:tc>
      </w:tr>
      <w:tr>
        <w:trPr>
          <w:trHeight w:val="180"/>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common stock for exercise of warrant</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Merger, net of transaction costs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11,049,628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Repayment of notes payable assumed in Merger</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(1,100,000)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5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5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25,938,728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846,836</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increase in cash</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11,527,819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118,564</w:t>
            </w:r>
          </w:p>
        </w:tc>
      </w:tr>
      <w:tr>
        <w:trPr>
          <w:trHeight w:val="18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at beginning of period</w:t>
            </w:r>
          </w:p>
        </w:tc>
        <w:tc>
          <w:tcPr>
            <w:tcW w:w="15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1,858,513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877,421</w:t>
            </w:r>
          </w:p>
        </w:tc>
      </w:tr>
      <w:tr>
        <w:trPr>
          <w:trHeight w:val="212"/>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Cash at end of period</w:t>
            </w:r>
          </w:p>
        </w:tc>
        <w:tc>
          <w:tcPr>
            <w:tcW w:w="1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13,386,332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995,985</w:t>
            </w:r>
          </w:p>
        </w:tc>
      </w:tr>
      <w:tr>
        <w:trPr>
          <w:trHeight w:val="154"/>
        </w:trPr>
        <w:tc>
          <w:tcPr>
            <w:tcW w:w="58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58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Non-cash investing and financing activities</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Reclassification of settlement liability upon issuance of warrant</w:t>
            </w:r>
          </w:p>
        </w:tc>
        <w:tc>
          <w:tcPr>
            <w:tcW w:w="168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60,851,779</w:t>
            </w:r>
          </w:p>
        </w:tc>
        <w:tc>
          <w:tcPr>
            <w:tcW w:w="1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Reclassification of legacy NeuroRx warrants to warrant liabilities</w:t>
            </w:r>
          </w:p>
        </w:tc>
        <w:tc>
          <w:tcPr>
            <w:tcW w:w="168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38,220,448</w:t>
            </w:r>
          </w:p>
        </w:tc>
        <w:tc>
          <w:tcPr>
            <w:tcW w:w="100" w:type="dxa"/>
            <w:vAlign w:val="bottom"/>
          </w:tcPr>
          <w:p>
            <w:pPr>
              <w:spacing w:after="0"/>
              <w:rPr>
                <w:sz w:val="15"/>
                <w:szCs w:val="15"/>
                <w:color w:val="auto"/>
              </w:rPr>
            </w:pPr>
          </w:p>
        </w:tc>
        <w:tc>
          <w:tcPr>
            <w:tcW w:w="40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Extinguishment of Paycheck Protection Program Loan</w:t>
            </w:r>
          </w:p>
        </w:tc>
        <w:tc>
          <w:tcPr>
            <w:tcW w:w="168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120,810</w:t>
            </w:r>
          </w:p>
        </w:tc>
        <w:tc>
          <w:tcPr>
            <w:tcW w:w="1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631063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0630" cy="14605"/>
                    </a:xfrm>
                    <a:prstGeom prst="rect">
                      <a:avLst/>
                    </a:prstGeom>
                    <a:noFill/>
                  </pic:spPr>
                </pic:pic>
              </a:graphicData>
            </a:graphic>
          </wp:anchor>
        </w:drawing>
      </w:r>
    </w:p>
    <w:p>
      <w:pPr>
        <w:sectPr>
          <w:pgSz w:w="11900" w:h="16838" w:orient="portrait"/>
          <w:cols w:equalWidth="0" w:num="1">
            <w:col w:w="9940"/>
          </w:cols>
          <w:pgMar w:left="980" w:top="452" w:right="979"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 Organization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The Business</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On May 24, 2021, we consummated the business combination, or the Business Combination, contemplated by the Agreement and Plan of Merger (as amended, the “Merger Agreement”), dated December 13, 2020, by and among our company (formerly known as Big Rock Partners Acquisition Corp. (“BRPA”)), NeuroRx, Inc., a Delaware corporation (“NeuroRx”), Big Rock Merger Corp., and a Delaware corporation and wholly-owned, direct subsidiary of BRPA (“Merger Sub”), pursuant to which Big Rock Merger Corp. was merged with and into NeuroRx, with NeuroRx surviving the merger (“Merger”). As a result of the Merger, and upon consummation of the Merger and other transactions contemplated by the Merger Agreement, NeuroRx became a wholly-owned, direct subsidiary of BRPA. Upon the closing of the Business Combination, we changed our name to NRx Pharmaceuticals, Inc. (“NRx Pharmaceuticals,” “NRXP,” “we,” or the “Company”), with the stockholders of NeuroRx becoming stockholders of NRx Pharmaceuticals.</w:t>
      </w:r>
    </w:p>
    <w:p>
      <w:pPr>
        <w:spacing w:after="0" w:line="156" w:lineRule="exact"/>
        <w:rPr>
          <w:sz w:val="20"/>
          <w:szCs w:val="20"/>
          <w:color w:val="auto"/>
        </w:rPr>
      </w:pPr>
    </w:p>
    <w:p>
      <w:pPr>
        <w:jc w:val="both"/>
        <w:ind w:left="40" w:right="39"/>
        <w:spacing w:after="0" w:line="235" w:lineRule="auto"/>
        <w:rPr>
          <w:sz w:val="20"/>
          <w:szCs w:val="20"/>
          <w:color w:val="auto"/>
        </w:rPr>
      </w:pPr>
      <w:r>
        <w:rPr>
          <w:rFonts w:ascii="Times New Roman" w:cs="Times New Roman" w:eastAsia="Times New Roman" w:hAnsi="Times New Roman"/>
          <w:sz w:val="15"/>
          <w:szCs w:val="15"/>
          <w:color w:val="auto"/>
        </w:rPr>
        <w:t>The Company is a clinical-stage small molecule pharmaceutical company which develops novel therapeutics for the treatment of central nervous system disorders and life-threatening pulmonary diseases through its wholly-owned operating subsidiary, NeuroRx. On September 21, 2020, we announced a commercial partnership with Relief Therapeutics Holding AG (“Relief”) for global commercialization of RLF-100 (aviptadil acetate) (now reformulated as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an FDA Fast Track-designated, investigational, pre-commercial drug for COVID-19 related respiratory failure (the “NRx COVID-19 Drug”). The partnership affords Relief the right to fund all formulations and clinical development of aviptadil for treatment of respiratory disease, in exchange for a predetermined share of profits. An application for emergency use authorization (“EUA”) for this product candidate is pending before the U.S. Food and Drug Administration (“FDA”). In addition,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xml:space="preserve"> has received EUA in the nation of Georgia. We are also developing NRX-100/101, an FDA Breakthrough Therapy-designated, investigational, pre-commercial drug for treating bipolar depression in patients with acute suicidal ideation and behavior (the “NRx Antidepressant Drug Regimen”). The Company has been granted exclusive worldwide development rights to a new potential COVID-19 vaccine called BriLife pursuant to a Memorandum of Understanding with the Government of Israel. The Company is commencing a clinical trial of the BriLife vaccine in the nation of Georgia. If the Georgia clinical trial, and other clinical trials running in Israel are successful, the Company expects to enter into a long-term royalty-bearing licensing agreement for the commercialization of the vaccine.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2. Liquidity</w:t>
      </w:r>
    </w:p>
    <w:p>
      <w:pPr>
        <w:spacing w:after="0" w:line="192" w:lineRule="exact"/>
        <w:rPr>
          <w:sz w:val="20"/>
          <w:szCs w:val="20"/>
          <w:color w:val="auto"/>
        </w:rPr>
      </w:pPr>
    </w:p>
    <w:p>
      <w:pPr>
        <w:jc w:val="both"/>
        <w:ind w:left="40" w:right="39"/>
        <w:spacing w:after="0" w:line="226" w:lineRule="auto"/>
        <w:rPr>
          <w:sz w:val="20"/>
          <w:szCs w:val="20"/>
          <w:color w:val="auto"/>
        </w:rPr>
      </w:pPr>
      <w:r>
        <w:rPr>
          <w:rFonts w:ascii="Times New Roman" w:cs="Times New Roman" w:eastAsia="Times New Roman" w:hAnsi="Times New Roman"/>
          <w:sz w:val="15"/>
          <w:szCs w:val="15"/>
          <w:color w:val="auto"/>
        </w:rPr>
        <w:t>As of June 30, 2021, the Company had $13,386,332 in cash. Since inception the Company has experienced net losses and negative cash flows from operations each fiscal year. The Company has no revenues and expects to continue to incur operating losses for the foreseeable future, and may never become profitable. The Company is dependent on its ability to continue to raise equity and/or debt financing to continue operations, and the attainment of profitable operations. The Company has a collaboration agreement with Relief which provided for funding by Relief of certain research and development expenses related to the U.S. development of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xml:space="preserve"> and the portion of corporate overhead attributable to that program. The proceeds received amounted to $771,244 for the six months ended June 30, 2021. Subsequent to December 31, 2020, Relief has declined to reimburse the Company for any additional expenses related to the IV clinical trials for the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The IV clinical trials for the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xml:space="preserve"> were completed on February 24, 2021. Subsequent to June 30, 2021, the Company received $9,186,316 from the exercise of a warrant for the purchase of 1,833,596 shares of common stock. Accordingly, the Company believes that it currently has sufficient funds to support operations through the next twelve months from the date the condensed consolidated financial statements are issued. The Company cannot make any assurances that additional financings will be available to it and, if available, on acceptable terms or at all. This could negatively impact the Company’s business and operations and could also lead to the reduction of the Company’s operations.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COVID-19 Outbreak</w:t>
      </w:r>
    </w:p>
    <w:p>
      <w:pPr>
        <w:spacing w:after="0" w:line="192" w:lineRule="exact"/>
        <w:rPr>
          <w:sz w:val="20"/>
          <w:szCs w:val="20"/>
          <w:color w:val="auto"/>
        </w:rPr>
      </w:pPr>
    </w:p>
    <w:p>
      <w:pPr>
        <w:jc w:val="both"/>
        <w:ind w:left="40" w:right="39"/>
        <w:spacing w:after="0" w:line="265" w:lineRule="auto"/>
        <w:rPr>
          <w:sz w:val="20"/>
          <w:szCs w:val="20"/>
          <w:color w:val="auto"/>
        </w:rPr>
      </w:pPr>
      <w:r>
        <w:rPr>
          <w:rFonts w:ascii="Times New Roman" w:cs="Times New Roman" w:eastAsia="Times New Roman" w:hAnsi="Times New Roman"/>
          <w:sz w:val="15"/>
          <w:szCs w:val="15"/>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w:t>
      </w:r>
    </w:p>
    <w:p>
      <w:pPr>
        <w:spacing w:after="0" w:line="150"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The full impact of the COVID-19 Outbreak continues to evolve as of the date of this report. If the COVID-19 Outbreak continues, it may have a material adverse effect on the Company’s financial condition, liquidity, and future results of operations for the year ending December 31, 2021 and beyond. Management is actively monitoring the impact of the global pandemic on its financial condition, liquidity, operations, industry, and workforce. Given the daily evolution of the COVID-19 Outbreak and the global responses to curb its spread, the Company is not able to estimate the effects of the COVID-19 Outbreak on its results of operations, financial condition, or liquidity for the year ending December 31, 2021 and beyond.</w:t>
      </w: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3. Summary of Significant Accounting Policies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19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5"/>
          <w:szCs w:val="15"/>
          <w:color w:val="auto"/>
        </w:rPr>
        <w:t>The accompanying unaudited interim condensed financial statements have been prepared in accordance with generally accepted accounting principles in the United States of America (“GAAP”) as determined by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statement of the balances and results for the periods presented. The results of operations for any interim periods are not necessarily indicative of the results that may be expected for the entire fiscal year or any other interim period.</w:t>
      </w:r>
    </w:p>
    <w:p>
      <w:pPr>
        <w:spacing w:after="0" w:line="159"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merger between Merger Sub and NeuroRx was accounted for as a reverse recapitalization in accordance with U.S. GAAP (the “Reverse Recapitalization”). Under this method of accounting, BRPA was treated as the “acquired” company and NeuroRx is treated as the acquirer for financial reporting purposes.</w:t>
      </w:r>
    </w:p>
    <w:p>
      <w:pPr>
        <w:spacing w:after="0" w:line="150"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Accordingly, for accounting purposes, the Reverse Recapitalization was treated as the equivalent of NeuroRx issuing stock for the net assets of BRPA, accompanied by a recapitalization. The net assets of BRPA are stated at historical cost, with no goodwill or other intangible assets recorded.</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NeuroRx was determined to be the accounting acquirer based on the following predominant factors:</w:t>
      </w:r>
    </w:p>
    <w:p>
      <w:pPr>
        <w:spacing w:after="0" w:line="188" w:lineRule="exact"/>
        <w:rPr>
          <w:sz w:val="20"/>
          <w:szCs w:val="20"/>
          <w:color w:val="auto"/>
        </w:rPr>
      </w:pPr>
    </w:p>
    <w:p>
      <w:pPr>
        <w:ind w:left="600" w:hanging="271"/>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NeuroRx’s shareholders have the largest portion of voting rights in the Company;</w:t>
      </w:r>
    </w:p>
    <w:p>
      <w:pPr>
        <w:spacing w:after="0" w:line="188" w:lineRule="exact"/>
        <w:rPr>
          <w:rFonts w:ascii="Times New Roman" w:cs="Times New Roman" w:eastAsia="Times New Roman" w:hAnsi="Times New Roman"/>
          <w:sz w:val="15"/>
          <w:szCs w:val="15"/>
          <w:color w:val="auto"/>
        </w:rPr>
      </w:pPr>
    </w:p>
    <w:p>
      <w:pPr>
        <w:ind w:left="600" w:hanging="271"/>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and Management are primarily composed of individuals associated with NeuroRx; and</w:t>
      </w:r>
    </w:p>
    <w:p>
      <w:pPr>
        <w:spacing w:after="0" w:line="188" w:lineRule="exact"/>
        <w:rPr>
          <w:rFonts w:ascii="Times New Roman" w:cs="Times New Roman" w:eastAsia="Times New Roman" w:hAnsi="Times New Roman"/>
          <w:sz w:val="15"/>
          <w:szCs w:val="15"/>
          <w:color w:val="auto"/>
        </w:rPr>
      </w:pPr>
    </w:p>
    <w:p>
      <w:pPr>
        <w:ind w:left="600" w:hanging="271"/>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NeuroRx was the larger entity based on historical operating activity and NeuroRx had the larger employee base at the time of the Merger.</w:t>
      </w:r>
    </w:p>
    <w:p>
      <w:pPr>
        <w:spacing w:after="0" w:line="188"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consolidated assets, liabilities and results of operations prior to the Reverse Recapitalization are those of NeuroRx. The shares and corresponding capital amounts and losses per share, prior to the Merger, have been retroactively restated based on shares reflecting the exchange ratio established in the Merger.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valuation of common and preferred stock, stock options, warrants, contingent consideration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Certain Risks and Uncertainties</w:t>
      </w:r>
    </w:p>
    <w:p>
      <w:pPr>
        <w:spacing w:after="0" w:line="192"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190" w:lineRule="exact"/>
        <w:rPr>
          <w:sz w:val="20"/>
          <w:szCs w:val="20"/>
          <w:color w:val="auto"/>
        </w:rPr>
      </w:pPr>
    </w:p>
    <w:p>
      <w:pPr>
        <w:jc w:val="both"/>
        <w:ind w:left="40" w:right="39"/>
        <w:spacing w:after="0" w:line="261" w:lineRule="auto"/>
        <w:rPr>
          <w:sz w:val="20"/>
          <w:szCs w:val="20"/>
          <w:color w:val="auto"/>
        </w:rPr>
      </w:pPr>
      <w:r>
        <w:rPr>
          <w:rFonts w:ascii="Times New Roman" w:cs="Times New Roman" w:eastAsia="Times New Roman" w:hAnsi="Times New Roman"/>
          <w:sz w:val="15"/>
          <w:szCs w:val="15"/>
          <w:color w:val="auto"/>
        </w:rPr>
        <w:t xml:space="preserve">ASC 820, </w:t>
      </w:r>
      <w:r>
        <w:rPr>
          <w:rFonts w:ascii="Times New Roman" w:cs="Times New Roman" w:eastAsia="Times New Roman" w:hAnsi="Times New Roman"/>
          <w:sz w:val="15"/>
          <w:szCs w:val="15"/>
          <w:i w:val="1"/>
          <w:iCs w:val="1"/>
          <w:color w:val="auto"/>
        </w:rPr>
        <w:t>Fair Value Measurements</w:t>
      </w:r>
      <w:r>
        <w:rPr>
          <w:rFonts w:ascii="Times New Roman" w:cs="Times New Roman" w:eastAsia="Times New Roman" w:hAnsi="Times New Roman"/>
          <w:sz w:val="15"/>
          <w:szCs w:val="15"/>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accounting guidance classifies fair value measurements in one of the following three categories for disclosure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Level 1: Quoted prices in active markets for identical assets or liabilities.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Level 2: Inputs other than Level 1 prices for similar assets or liabilities that are directly or indirectly observable in the marketplace.</w:t>
      </w:r>
    </w:p>
    <w:p>
      <w:pPr>
        <w:spacing w:after="0" w:line="188" w:lineRule="exact"/>
        <w:rPr>
          <w:sz w:val="20"/>
          <w:szCs w:val="20"/>
          <w:color w:val="auto"/>
        </w:rPr>
      </w:pPr>
    </w:p>
    <w:p>
      <w:pPr>
        <w:jc w:val="both"/>
        <w:ind w:left="300" w:right="39"/>
        <w:spacing w:after="0" w:line="265" w:lineRule="auto"/>
        <w:rPr>
          <w:sz w:val="20"/>
          <w:szCs w:val="20"/>
          <w:color w:val="auto"/>
        </w:rPr>
      </w:pPr>
      <w:r>
        <w:rPr>
          <w:rFonts w:ascii="Times New Roman" w:cs="Times New Roman" w:eastAsia="Times New Roman" w:hAnsi="Times New Roman"/>
          <w:sz w:val="15"/>
          <w:szCs w:val="15"/>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13)</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w:t>
      </w:r>
    </w:p>
    <w:p>
      <w:pPr>
        <w:spacing w:after="0" w:line="19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Accounts receivable consist of balances due from collaborative partners. In determining collectability, historical trends are evaluated, and specific partner issues are reviewed on a periodic basis to arrive at appropriate allowances. As of June 30, 2021, the Company has recorded an allowance for doubtful accounts of $5,470,897 as the Company does not expect to collect on amounts due to the Company owed from Relief.</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 and Off-Balance Sheet Risk</w:t>
      </w:r>
    </w:p>
    <w:p>
      <w:pPr>
        <w:spacing w:after="0" w:line="192"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Cash is the only financial instrument that is potentially subject to concentrations of credit risk. The Company’s cash is deposited in accounts at large financial institutions, and amounts may exceed federally insured limits. The Company believes it is not exposed to significant credit risk due to the financial strength of the depository institutions in which the cash is held. The Company has no financial instruments with off-balance sheet risk of loss.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Costs</w:t>
      </w:r>
    </w:p>
    <w:p>
      <w:pPr>
        <w:spacing w:after="0" w:line="19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All stock-based compensation costs are recorded in general and administrative or research and development costs in the consolidated statements of operations based upon the underlying individual’s role at the Company.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auto"/>
        </w:rPr>
        <w:t>Modification of stock options and warrants</w:t>
      </w:r>
    </w:p>
    <w:p>
      <w:pPr>
        <w:spacing w:after="0" w:line="18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5"/>
          <w:szCs w:val="15"/>
          <w:color w:val="auto"/>
        </w:rPr>
        <w:t>A change in any of the terms or conditions of stock options and warrants is accounted for as a modification. For a Type 1 (probable-to-probable) modification, incremental stock-based compensation cost is measured as the excess, if any, of the fair value of the modified option over the fair value of the original option/warrant immediately before its terms are modified, measured based on the fair value of the shares and other pertinent factors at the modification date. For vested stock options and warrants to board members, we recognize incremental compensation cost in the period the modification occurs. For unvested stock options, we recognize over the remaining requisite service period, the sum of the incremental compensation cost and the remaining unrecognized compensation cost for the original award on the modification date. If the fair value of the modified option is lower than the fair value of the original option immediately before modification, the minimum compensation cost we recognize is the cost of the original award.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w:t>
      </w:r>
      <w:r>
        <w:rPr>
          <w:rFonts w:ascii="Times New Roman" w:cs="Times New Roman" w:eastAsia="Times New Roman" w:hAnsi="Times New Roman"/>
          <w:sz w:val="15"/>
          <w:szCs w:val="15"/>
          <w:i w:val="1"/>
          <w:iCs w:val="1"/>
          <w:color w:val="auto"/>
        </w:rPr>
        <w:t xml:space="preserve">Distinguishing Liabilities from Equity </w:t>
      </w:r>
      <w:r>
        <w:rPr>
          <w:rFonts w:ascii="Times New Roman" w:cs="Times New Roman" w:eastAsia="Times New Roman" w:hAnsi="Times New Roman"/>
          <w:sz w:val="15"/>
          <w:szCs w:val="15"/>
          <w:color w:val="auto"/>
        </w:rPr>
        <w:t>(“ASC 480”) and ASC 815,</w:t>
      </w:r>
      <w:r>
        <w:rPr>
          <w:rFonts w:ascii="Times New Roman" w:cs="Times New Roman" w:eastAsia="Times New Roman" w:hAnsi="Times New Roman"/>
          <w:sz w:val="15"/>
          <w:szCs w:val="15"/>
          <w:i w:val="1"/>
          <w:iCs w:val="1"/>
          <w:color w:val="auto"/>
        </w:rPr>
        <w:t xml:space="preserve"> Derivatives and Hedging </w:t>
      </w:r>
      <w:r>
        <w:rPr>
          <w:rFonts w:ascii="Times New Roman" w:cs="Times New Roman" w:eastAsia="Times New Roman" w:hAnsi="Times New Roman"/>
          <w:sz w:val="15"/>
          <w:szCs w:val="15"/>
          <w:color w:val="auto"/>
        </w:rPr>
        <w:t>(“ASC 815”). The assessment considers whether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requires the use of professional judgment, is conducted at the time of warrant issuance and as of each subsequent quarterly period end date while the warrants are outstanding.</w:t>
      </w:r>
    </w:p>
    <w:p>
      <w:pPr>
        <w:spacing w:after="0" w:line="13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5"/>
          <w:szCs w:val="15"/>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probabilities of achieving the Earnout Cash Milestone and/or Earnout Shares Milestone at each reporting period (see Notes 11 and 13).</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0" w:lineRule="exact"/>
        <w:rPr>
          <w:sz w:val="20"/>
          <w:szCs w:val="20"/>
          <w:color w:val="auto"/>
        </w:rPr>
      </w:pPr>
    </w:p>
    <w:p>
      <w:pPr>
        <w:jc w:val="both"/>
        <w:ind w:left="40" w:right="39"/>
        <w:spacing w:after="0" w:line="254" w:lineRule="auto"/>
        <w:rPr>
          <w:sz w:val="20"/>
          <w:szCs w:val="20"/>
          <w:color w:val="auto"/>
        </w:rPr>
      </w:pPr>
      <w:r>
        <w:rPr>
          <w:rFonts w:ascii="Times New Roman" w:cs="Times New Roman" w:eastAsia="Times New Roman" w:hAnsi="Times New Roman"/>
          <w:sz w:val="15"/>
          <w:szCs w:val="15"/>
          <w:color w:val="auto"/>
        </w:rPr>
        <w:t xml:space="preserve">Income taxes are recorded in accordance with ASC 740, </w:t>
      </w:r>
      <w:r>
        <w:rPr>
          <w:rFonts w:ascii="Times New Roman" w:cs="Times New Roman" w:eastAsia="Times New Roman" w:hAnsi="Times New Roman"/>
          <w:sz w:val="15"/>
          <w:szCs w:val="15"/>
          <w:i w:val="1"/>
          <w:iCs w:val="1"/>
          <w:color w:val="auto"/>
        </w:rPr>
        <w:t>Income Taxes</w:t>
      </w:r>
      <w:r>
        <w:rPr>
          <w:rFonts w:ascii="Times New Roman" w:cs="Times New Roman" w:eastAsia="Times New Roman" w:hAnsi="Times New Roman"/>
          <w:sz w:val="15"/>
          <w:szCs w:val="15"/>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Earnings (Loss) Per Share</w:t>
      </w:r>
    </w:p>
    <w:p>
      <w:pPr>
        <w:spacing w:after="0" w:line="19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Basic loss per share of common stock is computed by dividing net loss attributable to common stockholders by the weighted average number of shares of common stock outstanding for the period. Diluted earnings per share excludes, when applicable, the potential impact of stock options, common stock warrant shares, and other dilutive instruments when their effect would be anti-dilutive in the respective periods.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summarized the basic and diluted earnings per share calculations: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127"/>
              <w:spacing w:after="0" w:line="115" w:lineRule="exact"/>
              <w:rPr>
                <w:sz w:val="20"/>
                <w:szCs w:val="20"/>
                <w:color w:val="auto"/>
              </w:rPr>
            </w:pPr>
            <w:r>
              <w:rPr>
                <w:rFonts w:ascii="Times New Roman" w:cs="Times New Roman" w:eastAsia="Times New Roman" w:hAnsi="Times New Roman"/>
                <w:sz w:val="12"/>
                <w:szCs w:val="12"/>
                <w:b w:val="1"/>
                <w:bCs w:val="1"/>
                <w:color w:val="auto"/>
              </w:rPr>
              <w:t>2021 (As restated)</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86"/>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07"/>
              <w:spacing w:after="0" w:line="115" w:lineRule="exact"/>
              <w:rPr>
                <w:sz w:val="20"/>
                <w:szCs w:val="20"/>
                <w:color w:val="auto"/>
              </w:rPr>
            </w:pPr>
            <w:r>
              <w:rPr>
                <w:rFonts w:ascii="Times New Roman" w:cs="Times New Roman" w:eastAsia="Times New Roman" w:hAnsi="Times New Roman"/>
                <w:sz w:val="12"/>
                <w:szCs w:val="12"/>
                <w:b w:val="1"/>
                <w:bCs w:val="1"/>
                <w:color w:val="auto"/>
              </w:rPr>
              <w:t>2021 (As restated)</w:t>
            </w:r>
          </w:p>
        </w:tc>
        <w:tc>
          <w:tcPr>
            <w:tcW w:w="1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86"/>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income (loss) - basic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(117,613)</w:t>
            </w:r>
          </w:p>
        </w:tc>
        <w:tc>
          <w:tcPr>
            <w:tcW w:w="4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102,287</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(25,606,487)</w:t>
            </w:r>
          </w:p>
        </w:tc>
        <w:tc>
          <w:tcPr>
            <w:tcW w:w="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(1,487,769)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60" w:type="dxa"/>
            <w:vAlign w:val="bottom"/>
            <w:shd w:val="clear" w:color="auto" w:fill="CCEEFF"/>
          </w:tcPr>
          <w:p>
            <w:pPr>
              <w:ind w:left="60"/>
              <w:spacing w:after="0" w:line="166" w:lineRule="exact"/>
              <w:rPr>
                <w:sz w:val="20"/>
                <w:szCs w:val="20"/>
                <w:color w:val="auto"/>
              </w:rPr>
            </w:pPr>
            <w:r>
              <w:rPr>
                <w:rFonts w:ascii="Times New Roman" w:cs="Times New Roman" w:eastAsia="Times New Roman" w:hAnsi="Times New Roman"/>
                <w:sz w:val="15"/>
                <w:szCs w:val="15"/>
                <w:color w:val="auto"/>
              </w:rPr>
              <w:t>Effect of liability - classified warrants under the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treasury stock method</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(17,359,009)</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(17,359,009)</w:t>
            </w:r>
          </w:p>
        </w:tc>
        <w:tc>
          <w:tcPr>
            <w:tcW w:w="1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Net income (loss) - diluted</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(17,476,622)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102,287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(42,965,496)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(1,487,769)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60" w:type="dxa"/>
            <w:vAlign w:val="bottom"/>
          </w:tcPr>
          <w:p>
            <w:pPr>
              <w:ind w:left="60"/>
              <w:spacing w:after="0" w:line="166" w:lineRule="exact"/>
              <w:rPr>
                <w:sz w:val="20"/>
                <w:szCs w:val="20"/>
                <w:color w:val="auto"/>
              </w:rPr>
            </w:pPr>
            <w:r>
              <w:rPr>
                <w:rFonts w:ascii="Times New Roman" w:cs="Times New Roman" w:eastAsia="Times New Roman" w:hAnsi="Times New Roman"/>
                <w:sz w:val="15"/>
                <w:szCs w:val="15"/>
                <w:color w:val="auto"/>
              </w:rPr>
              <w:t>Net income (loss) attributable to common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stockholders - basic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(255,939,684)</w:t>
            </w:r>
          </w:p>
        </w:tc>
        <w:tc>
          <w:tcPr>
            <w:tcW w:w="4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102,287</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(281,428,558)</w:t>
            </w:r>
          </w:p>
        </w:tc>
        <w:tc>
          <w:tcPr>
            <w:tcW w:w="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(1,487,769)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6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rPr>
              <w:t>Effect of liability - classified warrants under the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treasury stock method</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(17,359,009)</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(17,359,009)</w:t>
            </w:r>
          </w:p>
        </w:tc>
        <w:tc>
          <w:tcPr>
            <w:tcW w:w="1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60"/>
              <w:spacing w:after="0" w:line="146" w:lineRule="exact"/>
              <w:rPr>
                <w:sz w:val="20"/>
                <w:szCs w:val="20"/>
                <w:color w:val="auto"/>
              </w:rPr>
            </w:pPr>
            <w:r>
              <w:rPr>
                <w:rFonts w:ascii="Times New Roman" w:cs="Times New Roman" w:eastAsia="Times New Roman" w:hAnsi="Times New Roman"/>
                <w:sz w:val="15"/>
                <w:szCs w:val="15"/>
                <w:color w:val="auto"/>
              </w:rPr>
              <w:t>Net income (loss) attributable to common stock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(273,298,693)</w:t>
            </w:r>
          </w:p>
        </w:tc>
        <w:tc>
          <w:tcPr>
            <w:tcW w:w="42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102,287</w:t>
            </w:r>
          </w:p>
        </w:tc>
        <w:tc>
          <w:tcPr>
            <w:tcW w:w="3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(298,787,567)</w:t>
            </w:r>
          </w:p>
        </w:tc>
        <w:tc>
          <w:tcPr>
            <w:tcW w:w="440" w:type="dxa"/>
            <w:vAlign w:val="bottom"/>
            <w:gridSpan w:val="2"/>
            <w:vMerge w:val="restart"/>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(1,487,769)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diluted</w:t>
            </w:r>
          </w:p>
        </w:tc>
        <w:tc>
          <w:tcPr>
            <w:tcW w:w="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6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Denominator:</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shares - basic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41,727,480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33,819,205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38,709,614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33,799,503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Incremental effect of liability - classified warrants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under the treasury stock method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766,906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430,647</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Effect of other dilutive securities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2,837,215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shares - diluted</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42,494,386</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36,656,420</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39,140,261</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33,799,503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restart"/>
          </w:tcPr>
          <w:p>
            <w:pPr>
              <w:spacing w:after="0"/>
              <w:rPr>
                <w:sz w:val="13"/>
                <w:szCs w:val="13"/>
                <w:color w:val="auto"/>
              </w:rPr>
            </w:pP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earnings (loss) per share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(0.66)</w:t>
            </w:r>
          </w:p>
        </w:tc>
        <w:tc>
          <w:tcPr>
            <w:tcW w:w="4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Diluted earnings (loss)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4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36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Basic earnings (loss) per share attributable to common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stockholders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4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Diluted earnings (loss) per share attributable to</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common stockholders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4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4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The following outstanding shares of common stock equivalents were excluded from the computation of the diluted net earnings (loss) per share attributable to common stock for the periods in which a net loss is presented because their effect would have been anti-dilutive.</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4980" w:type="dxa"/>
            <w:vAlign w:val="bottom"/>
          </w:tcPr>
          <w:p>
            <w:pPr>
              <w:spacing w:after="0"/>
              <w:rPr>
                <w:sz w:val="12"/>
                <w:szCs w:val="12"/>
                <w:color w:val="auto"/>
              </w:rPr>
            </w:pPr>
          </w:p>
        </w:tc>
        <w:tc>
          <w:tcPr>
            <w:tcW w:w="2040" w:type="dxa"/>
            <w:vAlign w:val="bottom"/>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920" w:type="dxa"/>
            <w:vAlign w:val="bottom"/>
            <w:gridSpan w:val="3"/>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15"/>
        </w:trPr>
        <w:tc>
          <w:tcPr>
            <w:tcW w:w="4980" w:type="dxa"/>
            <w:vAlign w:val="bottom"/>
            <w:tcBorders>
              <w:bottom w:val="single" w:sz="8" w:color="CCEEFF"/>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349"/>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ind w:left="220"/>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269"/>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247"/>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r>
      <w:tr>
        <w:trPr>
          <w:trHeight w:val="17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2,919,493</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2,919,493</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1,166,863</w:t>
            </w:r>
          </w:p>
        </w:tc>
      </w:tr>
      <w:tr>
        <w:trPr>
          <w:trHeight w:val="180"/>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6,220,562</w:t>
            </w:r>
          </w:p>
        </w:tc>
        <w:tc>
          <w:tcPr>
            <w:tcW w:w="16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6,220,562</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1,670,352</w:t>
            </w:r>
          </w:p>
        </w:tc>
      </w:tr>
      <w:tr>
        <w:trPr>
          <w:trHeight w:val="18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issuable pursuant to UPOs (Note 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warrants pursuant to UPOs (Note 11)</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w:t>
            </w:r>
          </w:p>
        </w:tc>
        <w:tc>
          <w:tcPr>
            <w:tcW w:w="16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Rights pursuant to UPOs (Note 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Earnout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22,209,280</w:t>
            </w:r>
          </w:p>
        </w:tc>
        <w:tc>
          <w:tcPr>
            <w:tcW w:w="16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22,209,280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190" w:lineRule="exact"/>
        <w:rPr>
          <w:sz w:val="20"/>
          <w:szCs w:val="20"/>
          <w:color w:val="auto"/>
        </w:rPr>
      </w:pPr>
    </w:p>
    <w:p>
      <w:pPr>
        <w:jc w:val="both"/>
        <w:ind w:left="40" w:right="39"/>
        <w:spacing w:after="0" w:line="261" w:lineRule="auto"/>
        <w:rPr>
          <w:sz w:val="20"/>
          <w:szCs w:val="20"/>
          <w:color w:val="auto"/>
        </w:rPr>
      </w:pPr>
      <w:r>
        <w:rPr>
          <w:rFonts w:ascii="Times New Roman" w:cs="Times New Roman" w:eastAsia="Times New Roman" w:hAnsi="Times New Roman"/>
          <w:sz w:val="15"/>
          <w:szCs w:val="15"/>
          <w:color w:val="auto"/>
        </w:rPr>
        <w:t xml:space="preserve">In December 2019, the FASB issued ASU No. 2019-12, </w:t>
      </w:r>
      <w:r>
        <w:rPr>
          <w:rFonts w:ascii="Times New Roman" w:cs="Times New Roman" w:eastAsia="Times New Roman" w:hAnsi="Times New Roman"/>
          <w:sz w:val="15"/>
          <w:szCs w:val="15"/>
          <w:i w:val="1"/>
          <w:iCs w:val="1"/>
          <w:color w:val="auto"/>
        </w:rPr>
        <w:t>Income Taxes: Simplifying the Accounting for Income Taxes</w:t>
      </w:r>
      <w:r>
        <w:rPr>
          <w:rFonts w:ascii="Times New Roman" w:cs="Times New Roman" w:eastAsia="Times New Roman" w:hAnsi="Times New Roman"/>
          <w:sz w:val="15"/>
          <w:szCs w:val="15"/>
          <w:color w:val="auto"/>
        </w:rPr>
        <w:t>.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ASU will be effective for fiscal years beginning after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December 15, 2021, and interim periods within fiscal years beginning after December 15, 2022. The Company does not expect this guidance to have a significant impact on its financial statements.</w:t>
      </w:r>
    </w:p>
    <w:p>
      <w:pPr>
        <w:spacing w:after="0" w:line="13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5"/>
          <w:szCs w:val="15"/>
          <w:color w:val="auto"/>
        </w:rPr>
        <w:t xml:space="preserve">In August 2020, the FASB issued ASU 2020-06, </w:t>
      </w:r>
      <w:r>
        <w:rPr>
          <w:rFonts w:ascii="Times New Roman" w:cs="Times New Roman" w:eastAsia="Times New Roman" w:hAnsi="Times New Roman"/>
          <w:sz w:val="15"/>
          <w:szCs w:val="15"/>
          <w:i w:val="1"/>
          <w:iCs w:val="1"/>
          <w:color w:val="auto"/>
        </w:rPr>
        <w:t>Debt—Debt with Conversion and Other Options (Subtopic 470-20) and Derivatives and Hedging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—Contracts in Entity’s Own Equity (Subtopic 815-40): Accounting for Convertible Instruments and Contracts in an Entity’s Own Equity</w:t>
      </w:r>
      <w:r>
        <w:rPr>
          <w:rFonts w:ascii="Times New Roman" w:cs="Times New Roman" w:eastAsia="Times New Roman" w:hAnsi="Times New Roman"/>
          <w:sz w:val="15"/>
          <w:szCs w:val="15"/>
          <w:color w:val="auto"/>
        </w:rPr>
        <w:t>,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2020 and adoption must be as of the beginning of the Company’s annual fiscal year. We adopted ASU 2020-06 on January 1, 2021. There was no impact to our consolidated financial statements at the date of adoption.</w:t>
      </w:r>
    </w:p>
    <w:p>
      <w:pPr>
        <w:spacing w:after="0" w:line="89" w:lineRule="exact"/>
        <w:rPr>
          <w:sz w:val="20"/>
          <w:szCs w:val="20"/>
          <w:color w:val="auto"/>
        </w:rPr>
      </w:pPr>
    </w:p>
    <w:p>
      <w:pPr>
        <w:jc w:val="both"/>
        <w:ind w:left="40" w:right="39"/>
        <w:spacing w:after="0" w:line="256" w:lineRule="auto"/>
        <w:rPr>
          <w:sz w:val="20"/>
          <w:szCs w:val="20"/>
          <w:color w:val="auto"/>
        </w:rPr>
      </w:pPr>
      <w:r>
        <w:rPr>
          <w:rFonts w:ascii="Times New Roman" w:cs="Times New Roman" w:eastAsia="Times New Roman" w:hAnsi="Times New Roman"/>
          <w:sz w:val="15"/>
          <w:szCs w:val="15"/>
          <w:color w:val="auto"/>
        </w:rPr>
        <w:t xml:space="preserve">In May 2021, the FASB issued ASU 2021-04, </w:t>
      </w:r>
      <w:r>
        <w:rPr>
          <w:rFonts w:ascii="Times New Roman" w:cs="Times New Roman" w:eastAsia="Times New Roman" w:hAnsi="Times New Roman"/>
          <w:sz w:val="15"/>
          <w:szCs w:val="15"/>
          <w:i w:val="1"/>
          <w:iCs w:val="1"/>
          <w:color w:val="auto"/>
        </w:rPr>
        <w:t>Earnings Per Share (Topic 260), Debt - Modifications and Extinguishments (Subtopic 470-50),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Compensation - Stock Compensation (Topic 718) and Derivatives and Hedging - Contracts in an Entity's Own Equity (Subtopic 815-40) - Issuer's Accounting for Certain Modifications or Exchange of Freestanding Equity-Classified Written Call Options</w:t>
      </w:r>
      <w:r>
        <w:rPr>
          <w:rFonts w:ascii="Times New Roman" w:cs="Times New Roman" w:eastAsia="Times New Roman" w:hAnsi="Times New Roman"/>
          <w:sz w:val="15"/>
          <w:szCs w:val="15"/>
          <w:color w:val="auto"/>
        </w:rPr>
        <w:t>, which provides guidance for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modification or an exchange of a freestanding equity-classified written call option that remains equity classified after modification or exchange as</w:t>
      </w:r>
    </w:p>
    <w:p>
      <w:pPr>
        <w:spacing w:after="0" w:line="1" w:lineRule="exact"/>
        <w:rPr>
          <w:sz w:val="20"/>
          <w:szCs w:val="20"/>
          <w:color w:val="auto"/>
        </w:rPr>
      </w:pPr>
    </w:p>
    <w:p>
      <w:pPr>
        <w:jc w:val="both"/>
        <w:ind w:left="40" w:right="59" w:hanging="4"/>
        <w:spacing w:after="0" w:line="256" w:lineRule="auto"/>
        <w:tabs>
          <w:tab w:leader="none" w:pos="264"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adjustment to equity and, if so, the related earnings per share (EPS) effects, if any, or (2) an expense and, if so, the manner and pattern of recognition. The amendments in this ASU are effective January 1, 2022, including interim periods. Early adoption is permitted. The Company has elected to early adopt the provisions of ASU 2021-04 effective January 1, 2021.</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4. Restatement of Previously Issued Financial Statements</w:t>
      </w:r>
    </w:p>
    <w:p>
      <w:pPr>
        <w:spacing w:after="0" w:line="260"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Company has restated its condensed consolidated balance sheet as of June 30, 2021, and its condensed consolidated statements of operations, stockholders’ equity (deficit) for the three- and six-month periods ended June 30, 2021, and condensed consolidated statement of cash flows for the six-month period ended June 30, 2021, along with certain related notes to such restated condensed consolidated financial statements.</w:t>
      </w:r>
    </w:p>
    <w:p>
      <w:pPr>
        <w:spacing w:after="0" w:line="206"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errors that caused the Company to conclude that its financial statements should be restated are the result of a misapplication of the guidance on accounting for certain Substitute Warrants, which was identified in connection with the preparation of our condensed consolidated financial statements as of and for the quarter ended June 30, 2022.</w:t>
      </w:r>
    </w:p>
    <w:p>
      <w:pPr>
        <w:spacing w:after="0" w:line="14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5"/>
          <w:szCs w:val="15"/>
          <w:color w:val="auto"/>
        </w:rPr>
        <w:t xml:space="preserve">Based on ASC 815-40, </w:t>
      </w:r>
      <w:r>
        <w:rPr>
          <w:rFonts w:ascii="Times New Roman" w:cs="Times New Roman" w:eastAsia="Times New Roman" w:hAnsi="Times New Roman"/>
          <w:sz w:val="15"/>
          <w:szCs w:val="15"/>
          <w:i w:val="1"/>
          <w:iCs w:val="1"/>
          <w:color w:val="auto"/>
        </w:rPr>
        <w:t>Contracts in Entity’s Own Equity</w:t>
      </w:r>
      <w:r>
        <w:rPr>
          <w:rFonts w:ascii="Times New Roman" w:cs="Times New Roman" w:eastAsia="Times New Roman" w:hAnsi="Times New Roman"/>
          <w:sz w:val="15"/>
          <w:szCs w:val="15"/>
          <w:color w:val="auto"/>
        </w:rPr>
        <w:t>, warrant instruments that do not meet the criteria to be considered indexed to an entity’s own stock shall be initially classified as liabilities at their estimated fair values. In periods subsequent to issuance, changes in the estimated fair value of the derivative instruments should be reported in the statement of operations.</w:t>
      </w:r>
    </w:p>
    <w:p>
      <w:pPr>
        <w:spacing w:after="0" w:line="147"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Company determined that the condensed consolidated financial statements should be restated to reflect the modification of the Substitute Warrants as a liability, with subsequent changes in their estimated fair value recorded as non-cash income or expense in the statements of operations for all periods since modification on May 24, 2021.</w:t>
      </w:r>
    </w:p>
    <w:p>
      <w:pPr>
        <w:spacing w:after="0" w:line="150" w:lineRule="exact"/>
        <w:rPr>
          <w:sz w:val="20"/>
          <w:szCs w:val="20"/>
          <w:color w:val="auto"/>
        </w:rPr>
      </w:pPr>
    </w:p>
    <w:p>
      <w:pPr>
        <w:jc w:val="both"/>
        <w:ind w:left="40" w:right="39"/>
        <w:spacing w:after="0" w:line="280" w:lineRule="auto"/>
        <w:rPr>
          <w:sz w:val="20"/>
          <w:szCs w:val="20"/>
          <w:color w:val="auto"/>
        </w:rPr>
      </w:pPr>
      <w:r>
        <w:rPr>
          <w:rFonts w:ascii="Times New Roman" w:cs="Times New Roman" w:eastAsia="Times New Roman" w:hAnsi="Times New Roman"/>
          <w:sz w:val="15"/>
          <w:szCs w:val="15"/>
          <w:color w:val="auto"/>
        </w:rPr>
        <w:t>In addition to the restatement of the condensed consolidated financial statements, the Company has also restated the following notes for the three-and six-month period ended June 30, 2021, to reflect the error corrections noted above.</w:t>
      </w:r>
    </w:p>
    <w:p>
      <w:pPr>
        <w:spacing w:after="0" w:line="138" w:lineRule="exact"/>
        <w:rPr>
          <w:sz w:val="20"/>
          <w:szCs w:val="20"/>
          <w:color w:val="auto"/>
        </w:rPr>
      </w:pPr>
    </w:p>
    <w:p>
      <w:pPr>
        <w:ind w:left="580" w:hanging="393"/>
        <w:spacing w:after="0"/>
        <w:tabs>
          <w:tab w:leader="none" w:pos="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Note 3 – Summary of Significant Accounting Policies</w:t>
      </w:r>
    </w:p>
    <w:p>
      <w:pPr>
        <w:spacing w:after="0" w:line="21" w:lineRule="exact"/>
        <w:rPr>
          <w:rFonts w:ascii="Times New Roman" w:cs="Times New Roman" w:eastAsia="Times New Roman" w:hAnsi="Times New Roman"/>
          <w:sz w:val="15"/>
          <w:szCs w:val="15"/>
          <w:color w:val="auto"/>
        </w:rPr>
      </w:pPr>
    </w:p>
    <w:p>
      <w:pPr>
        <w:ind w:left="580" w:hanging="393"/>
        <w:spacing w:after="0"/>
        <w:tabs>
          <w:tab w:leader="none" w:pos="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Note 5 - Reverse Recapitalization</w:t>
      </w:r>
    </w:p>
    <w:p>
      <w:pPr>
        <w:spacing w:after="0" w:line="7" w:lineRule="exact"/>
        <w:rPr>
          <w:rFonts w:ascii="Times New Roman" w:cs="Times New Roman" w:eastAsia="Times New Roman" w:hAnsi="Times New Roman"/>
          <w:sz w:val="15"/>
          <w:szCs w:val="15"/>
          <w:color w:val="auto"/>
        </w:rPr>
      </w:pPr>
    </w:p>
    <w:p>
      <w:pPr>
        <w:ind w:left="580" w:hanging="393"/>
        <w:spacing w:after="0"/>
        <w:tabs>
          <w:tab w:leader="none" w:pos="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Note 10 - Commitment and Contingencies</w:t>
      </w:r>
    </w:p>
    <w:p>
      <w:pPr>
        <w:spacing w:after="0" w:line="7" w:lineRule="exact"/>
        <w:rPr>
          <w:rFonts w:ascii="Times New Roman" w:cs="Times New Roman" w:eastAsia="Times New Roman" w:hAnsi="Times New Roman"/>
          <w:sz w:val="15"/>
          <w:szCs w:val="15"/>
          <w:color w:val="auto"/>
        </w:rPr>
      </w:pPr>
    </w:p>
    <w:p>
      <w:pPr>
        <w:ind w:left="580" w:hanging="393"/>
        <w:spacing w:after="0"/>
        <w:tabs>
          <w:tab w:leader="none" w:pos="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Note 11 - Equity</w:t>
      </w:r>
    </w:p>
    <w:p>
      <w:pPr>
        <w:spacing w:after="0" w:line="7" w:lineRule="exact"/>
        <w:rPr>
          <w:rFonts w:ascii="Times New Roman" w:cs="Times New Roman" w:eastAsia="Times New Roman" w:hAnsi="Times New Roman"/>
          <w:sz w:val="15"/>
          <w:szCs w:val="15"/>
          <w:color w:val="auto"/>
        </w:rPr>
      </w:pPr>
    </w:p>
    <w:p>
      <w:pPr>
        <w:ind w:left="580" w:hanging="393"/>
        <w:spacing w:after="0"/>
        <w:tabs>
          <w:tab w:leader="none" w:pos="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Note 13 – Fair Value Measurements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following table represents the estimated fair value of the Company’s Substitute Warrants liabilities recorded on our condensed consolidated balance sheet along with changes in fair value which are recorded as other income and expense on our condensed consolidated statement of operations.</w:t>
      </w:r>
    </w:p>
    <w:p>
      <w:pPr>
        <w:spacing w:after="0" w:line="150" w:lineRule="exact"/>
        <w:rPr>
          <w:sz w:val="20"/>
          <w:szCs w:val="20"/>
          <w:color w:val="auto"/>
        </w:rPr>
      </w:pPr>
    </w:p>
    <w:p>
      <w:pPr>
        <w:jc w:val="both"/>
        <w:ind w:left="40" w:right="39"/>
        <w:spacing w:after="0" w:line="280" w:lineRule="auto"/>
        <w:rPr>
          <w:sz w:val="20"/>
          <w:szCs w:val="20"/>
          <w:color w:val="auto"/>
        </w:rPr>
      </w:pPr>
      <w:r>
        <w:rPr>
          <w:rFonts w:ascii="Times New Roman" w:cs="Times New Roman" w:eastAsia="Times New Roman" w:hAnsi="Times New Roman"/>
          <w:sz w:val="15"/>
          <w:szCs w:val="15"/>
          <w:color w:val="auto"/>
        </w:rPr>
        <w:t>The Company’s prior and updated accounting for the Substitute Warrants do not have any effect on the Company’s previously reported or future cash flows or cash.</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tables summarize the effect of the restatement on each financial statement line item as of the dates, and for the period, indicated: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 as of June 30, 2021 (unaudited)</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liabilities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515,025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22,330,088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22,845,113</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35,471,583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22,330,088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57,801,671</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35,984,055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22,330,088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58,314,143</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114,190,620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(38,220,448)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75,970,172</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(131,676,567)</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15,890,360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(115,786,207)</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equity (deficit)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(17,437,343)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(22,330,088)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(39,767,431)</w:t>
            </w:r>
          </w:p>
        </w:tc>
        <w:tc>
          <w:tcPr>
            <w:tcW w:w="0" w:type="dxa"/>
            <w:vAlign w:val="bottom"/>
          </w:tcPr>
          <w:p>
            <w:pPr>
              <w:spacing w:after="0"/>
              <w:rPr>
                <w:sz w:val="1"/>
                <w:szCs w:val="1"/>
                <w:color w:val="auto"/>
              </w:rPr>
            </w:pPr>
          </w:p>
        </w:tc>
      </w:tr>
      <w:tr>
        <w:trPr>
          <w:trHeight w:val="406"/>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Operations for the three months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ended June 30, 2021 (unaudited)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w w:val="96"/>
              </w:rPr>
              <w:t>As Reported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352"/>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32"/>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(1,468,649)</w:t>
            </w: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(15,890,360)</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(17,359,009)</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 expenses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(1,108,841)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(15,890,360)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(16,999,201)</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tax</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(16,007,973)</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15,890,360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(117,613)</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(16,007,973)</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15,890,360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(117,613)</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(271,830,043)</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15,890,359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(255,939,684)</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 per share, basic</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20" w:type="dxa"/>
            <w:vAlign w:val="bottom"/>
          </w:tcPr>
          <w:p>
            <w:pPr>
              <w:spacing w:after="0"/>
              <w:rPr>
                <w:sz w:val="14"/>
                <w:szCs w:val="14"/>
                <w:color w:val="auto"/>
              </w:rPr>
            </w:pPr>
          </w:p>
        </w:tc>
        <w:tc>
          <w:tcPr>
            <w:tcW w:w="1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 per share, diluted</w:t>
            </w: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158"/>
        </w:trPr>
        <w:tc>
          <w:tcPr>
            <w:tcW w:w="38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earnings (loss) per share attributable to common stockholders,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220" w:type="dxa"/>
            <w:vAlign w:val="bottom"/>
          </w:tcPr>
          <w:p>
            <w:pPr>
              <w:spacing w:after="0"/>
              <w:rPr>
                <w:sz w:val="15"/>
                <w:szCs w:val="15"/>
                <w:color w:val="auto"/>
              </w:rPr>
            </w:pPr>
          </w:p>
        </w:tc>
        <w:tc>
          <w:tcPr>
            <w:tcW w:w="1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16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 per share attributable to common stockholders,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2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diluted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41,727,480</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766,906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42,494,386</w:t>
            </w:r>
          </w:p>
        </w:tc>
        <w:tc>
          <w:tcPr>
            <w:tcW w:w="0" w:type="dxa"/>
            <w:vAlign w:val="bottom"/>
          </w:tcPr>
          <w:p>
            <w:pPr>
              <w:spacing w:after="0"/>
              <w:rPr>
                <w:sz w:val="1"/>
                <w:szCs w:val="1"/>
                <w:color w:val="auto"/>
              </w:rPr>
            </w:pP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Operations for the six months ended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June 30, 2021 (unaudited)</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w w:val="96"/>
              </w:rPr>
              <w:t>As Reported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60"/>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(1,468,649)</w:t>
            </w: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(15,890,360)</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(17,359,009)</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 expenses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(1,224,470)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(15,890,360)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(17,114,830)</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tax</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(41,496,847)</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15,890,360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(25,606,487)</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(41,496,847)</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15,890,360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(25,606,487)</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(297,318,917)</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15,890,359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(281,428,558)</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 per share, basic</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4"/>
                <w:szCs w:val="14"/>
                <w:color w:val="auto"/>
              </w:rPr>
            </w:pPr>
          </w:p>
        </w:tc>
        <w:tc>
          <w:tcPr>
            <w:tcW w:w="1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 per share, diluted</w:t>
            </w: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58"/>
        </w:trPr>
        <w:tc>
          <w:tcPr>
            <w:tcW w:w="38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earnings (loss) per share attributable to common stockholders,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20" w:type="dxa"/>
            <w:vAlign w:val="bottom"/>
          </w:tcPr>
          <w:p>
            <w:pPr>
              <w:spacing w:after="0"/>
              <w:rPr>
                <w:sz w:val="15"/>
                <w:szCs w:val="15"/>
                <w:color w:val="auto"/>
              </w:rPr>
            </w:pPr>
          </w:p>
        </w:tc>
        <w:tc>
          <w:tcPr>
            <w:tcW w:w="1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6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 per share attributable to common stockholders,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diluted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38,709,614</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430,647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39,140,261</w:t>
            </w:r>
          </w:p>
        </w:tc>
        <w:tc>
          <w:tcPr>
            <w:tcW w:w="0" w:type="dxa"/>
            <w:vAlign w:val="bottom"/>
          </w:tcPr>
          <w:p>
            <w:pPr>
              <w:spacing w:after="0"/>
              <w:rPr>
                <w:sz w:val="1"/>
                <w:szCs w:val="1"/>
                <w:color w:val="auto"/>
              </w:rPr>
            </w:pPr>
          </w:p>
        </w:tc>
      </w:tr>
      <w:tr>
        <w:trPr>
          <w:trHeight w:val="782"/>
        </w:trPr>
        <w:tc>
          <w:tcPr>
            <w:tcW w:w="388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2"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Stockholders' Equity (Deficit) for the six months ended</w:t>
      </w:r>
    </w:p>
    <w:p>
      <w:pPr>
        <w:sectPr>
          <w:pgSz w:w="11900" w:h="16838" w:orient="portrait"/>
          <w:cols w:equalWidth="0" w:num="1">
            <w:col w:w="9019"/>
          </w:cols>
          <w:pgMar w:left="1440" w:top="452" w:right="1440" w:bottom="1440" w:gutter="0" w:footer="0" w:header="0"/>
        </w:sectPr>
      </w:pP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June 30, 2021 (unaudited)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 Reported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Adjustment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 Restated</w:t>
      </w:r>
    </w:p>
    <w:p>
      <w:pPr>
        <w:spacing w:after="0" w:line="55" w:lineRule="exact"/>
        <w:rPr>
          <w:sz w:val="20"/>
          <w:szCs w:val="20"/>
          <w:color w:val="auto"/>
        </w:rPr>
      </w:pPr>
    </w:p>
    <w:p>
      <w:pPr>
        <w:sectPr>
          <w:pgSz w:w="11900" w:h="16838" w:orient="portrait"/>
          <w:cols w:equalWidth="0" w:num="4">
            <w:col w:w="4800" w:space="720"/>
            <w:col w:w="640" w:space="640"/>
            <w:col w:w="620" w:space="660"/>
            <w:col w:w="939"/>
          </w:cols>
          <w:pgMar w:left="1440" w:top="452" w:right="1440" w:bottom="1440" w:gutter="0" w:footer="0" w:header="0"/>
          <w:type w:val="continuous"/>
        </w:sectPr>
      </w:pPr>
    </w:p>
    <w:tbl>
      <w:tblPr>
        <w:tblLayout w:type="fixed"/>
        <w:tblInd w:w="40" w:type="dxa"/>
        <w:tblCellMar>
          <w:top w:w="0" w:type="dxa"/>
          <w:left w:w="0" w:type="dxa"/>
          <w:bottom w:w="0" w:type="dxa"/>
          <w:right w:w="0" w:type="dxa"/>
        </w:tblCellMar>
      </w:tblPr>
      <w:tr>
        <w:trPr>
          <w:trHeight w:val="442"/>
        </w:trPr>
        <w:tc>
          <w:tcPr>
            <w:tcW w:w="512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Effect of Merger and recapitalization, net of redemptions and issuance costs of $1,412,846</w:t>
            </w:r>
          </w:p>
        </w:tc>
        <w:tc>
          <w:tcPr>
            <w:tcW w:w="100" w:type="dxa"/>
            <w:vAlign w:val="bottom"/>
            <w:tcBorders>
              <w:top w:val="single" w:sz="8" w:color="CCEEFF"/>
              <w:bottom w:val="single" w:sz="8" w:color="CCEEFF"/>
            </w:tcBorders>
            <w:gridSpan w:val="2"/>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(26,615,796)</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(38,220,448)</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(64,836,244)</w:t>
            </w:r>
          </w:p>
        </w:tc>
      </w:tr>
      <w:tr>
        <w:trPr>
          <w:trHeight w:val="186"/>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Net loss for the three months ended June 30, 2021</w:t>
            </w:r>
          </w:p>
        </w:tc>
        <w:tc>
          <w:tcPr>
            <w:tcW w:w="4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(16,007,973)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8"/>
              </w:rPr>
              <w:t>15,890,360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(117,613)</w:t>
            </w:r>
          </w:p>
        </w:tc>
      </w:tr>
      <w:tr>
        <w:trPr>
          <w:trHeight w:val="503"/>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Cash Flows for the six months ended June 30, 2021</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280" w:type="dxa"/>
            <w:vAlign w:val="bottom"/>
            <w:gridSpan w:val="5"/>
          </w:tcPr>
          <w:p>
            <w:pPr>
              <w:ind w:left="200"/>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1180" w:type="dxa"/>
            <w:vAlign w:val="bottom"/>
            <w:gridSpan w:val="2"/>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As Restated</w:t>
            </w:r>
          </w:p>
        </w:tc>
      </w:tr>
      <w:tr>
        <w:trPr>
          <w:trHeight w:val="43"/>
        </w:trPr>
        <w:tc>
          <w:tcPr>
            <w:tcW w:w="5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6"/>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(41,496,847)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95"/>
              </w:rPr>
              <w:t>15,890,360</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(25,606,487)</w:t>
            </w:r>
          </w:p>
        </w:tc>
      </w:tr>
      <w:tr>
        <w:trPr>
          <w:trHeight w:val="50"/>
        </w:trPr>
        <w:tc>
          <w:tcPr>
            <w:tcW w:w="504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94"/>
        </w:trPr>
        <w:tc>
          <w:tcPr>
            <w:tcW w:w="52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and used in operating activities:</w:t>
            </w:r>
          </w:p>
        </w:tc>
        <w:tc>
          <w:tcPr>
            <w:tcW w:w="4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6"/>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(1,468,649)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(15,890,360)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(17,359,009)</w:t>
            </w:r>
          </w:p>
        </w:tc>
      </w:tr>
      <w:tr>
        <w:trPr>
          <w:trHeight w:val="50"/>
        </w:trPr>
        <w:tc>
          <w:tcPr>
            <w:tcW w:w="504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17"/>
        </w:trPr>
        <w:tc>
          <w:tcPr>
            <w:tcW w:w="52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86"/>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Non-cash investing and financing activities</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50"/>
        </w:trPr>
        <w:tc>
          <w:tcPr>
            <w:tcW w:w="504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86"/>
        </w:trPr>
        <w:tc>
          <w:tcPr>
            <w:tcW w:w="52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Reclassification of legacy NeuroRx warrants to warrant liabilities</w:t>
            </w:r>
          </w:p>
        </w:tc>
        <w:tc>
          <w:tcPr>
            <w:tcW w:w="400" w:type="dxa"/>
            <w:vAlign w:val="bottom"/>
            <w:shd w:val="clear" w:color="auto" w:fill="CCEEFF"/>
          </w:tcPr>
          <w:p>
            <w:pPr>
              <w:spacing w:after="0"/>
              <w:rPr>
                <w:sz w:val="16"/>
                <w:szCs w:val="16"/>
                <w:color w:val="auto"/>
              </w:rPr>
            </w:pPr>
          </w:p>
        </w:tc>
        <w:tc>
          <w:tcPr>
            <w:tcW w:w="88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38,220,448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38,220,448</w:t>
            </w:r>
          </w:p>
        </w:tc>
      </w:tr>
      <w:tr>
        <w:trPr>
          <w:trHeight w:val="50"/>
        </w:trPr>
        <w:tc>
          <w:tcPr>
            <w:tcW w:w="50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r>
    </w:tbl>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5. Reverse Recapitalization</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As discussed in Note 1, on May 24, 2021 (the “Closing Date”), BRPA closed the Business Combination with NeuroRx, as a result of which NeuroRx became a wholly-owned subsidiary of BRPA. While BRPA was the legal acquirer of NeuroRx in the business combination, for accounting purposes, the Merger is treated as a Reverse Recapitalization, whereby NeuroRx is deemed to be the accounting acquirer, and the historical financial statements of NeuroRx became the historical financial statements of BRPA (renamed NRx Pharmaceuticals, Inc.) upon the closing of the Merger. Under this method of accounting, BRPA was treated as the “acquired” company and NeuroRx is treated as the acquirer for financial reporting purposes. Accordingly, for accounting purposes, the Merger was treated as the equivalent of NeuroRx issuing stock for the net assets of BRPA, accompanied by a recapitalization. The net assets of BRPA were stated at historical cost, with no goodwill or other intangible assets recorded.</w:t>
      </w:r>
    </w:p>
    <w:p>
      <w:pPr>
        <w:spacing w:after="0" w:line="159"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Pursuant to the Merger Agreement, the aggregate consideration payable to stockholders of NeuroRx at the Closing Date consisted of 50,000,000 shares (“Closing Consideration”) of BRPA common stock, par value $0.001 per share (“Common Stock”). At the effective time of the Merger (the “Effective Time”), and subject to the terms and conditions of the Merger Agreement, each share of NeuroRx common stock, par value $0.001 per share, and each share of the NeuroRx convertible preferred stock that was convertible into a share of NeuroRx common stock at a one-to-one ratio pursuant to the NeuroRx certificate of incorporation, was converted into Common Stock equal to 3.16 shares (the “Exchange Ratio”).</w:t>
      </w:r>
    </w:p>
    <w:p>
      <w:pPr>
        <w:spacing w:after="0" w:line="155"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5"/>
          <w:szCs w:val="15"/>
          <w:color w:val="auto"/>
        </w:rPr>
        <w:t>In addition, the stockholders of NeuroRx who owned NeuroRx securities immediately prior to the Effective Time received the contingent right to receive the Earnout Shares and Earnout Cash (each as defined below). At the Effective Time, each outstanding share of NeuroRx common stock, including shares of NeuroRx common stock resulting from the conversion of outstanding shares of NeuroRx preferred stock was converted into the right to receive a pro rata portion of the contingent right to receive a pro rata portion of the Earnout Shares and Earnout Cash after consideration of the Substitute Options and Substitute Warrants (as further discussed below).</w:t>
      </w:r>
    </w:p>
    <w:p>
      <w:pPr>
        <w:spacing w:after="0" w:line="155"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Pursuant to the terms of the Merger Agreement, NeuroRx’s stockholders who owned NeuroRx securities immediately prior to the Effective Time would have the contingent right to receive their pro rata portion of (i) an aggregate of up to 25,000,000 shares of Common Stock (“Earnout Shares”), less 935,608 and 1,920,492, respectively, which are subject to the terms and conditions of the Substitute Options and Substitute Warrants (each as defined below), if, prior to December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4" w:lineRule="exact"/>
        <w:rPr>
          <w:sz w:val="20"/>
          <w:szCs w:val="20"/>
          <w:color w:val="auto"/>
        </w:rPr>
      </w:pPr>
    </w:p>
    <w:p>
      <w:pPr>
        <w:jc w:val="both"/>
        <w:ind w:left="40" w:right="39"/>
        <w:spacing w:after="0" w:line="231" w:lineRule="auto"/>
        <w:rPr>
          <w:sz w:val="20"/>
          <w:szCs w:val="20"/>
          <w:color w:val="auto"/>
        </w:rPr>
      </w:pPr>
      <w:r>
        <w:rPr>
          <w:rFonts w:ascii="Times New Roman" w:cs="Times New Roman" w:eastAsia="Times New Roman" w:hAnsi="Times New Roman"/>
          <w:sz w:val="15"/>
          <w:szCs w:val="15"/>
          <w:color w:val="auto"/>
        </w:rPr>
        <w:t>31, 2022, the NeuroRx COVID-19 Drug (i.e.,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receives emergency use authorization by the Food and Drug Administration (“FDA”) and NeuroRx submits and the FDA files for review a new drug application for the NeuroRx COVID-19 Drug (i.e.,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(the occurrence of the foregoing, the “Earnout Shares Milestone”), and (ii) an aggregate of $100,000,000 in cash (“Earnout Cash”) upon the earlier to occur of (x) FDA approval of the NeuroRx COVID-19 Drug (i.e.,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and the listing of the NeuroRx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The Earnout Cash Milestone was recognized as a deemed dividend at the Closing Date and a contingent liability measured at its estimated fair value at the Closing Date and will be remeasured at fair value each period end thereafter until earned or December 31, 2022 (see Note 13). The Earnout Shares Milestone was recognized as a deemed dividend at the Closing date and was classified within equity (see Note 13). The benefit of the contingent right to receive Earnout Cash and Earnout Shares for option and warrant holders occurs through the Option Exchange Ratio (as defined below) and therefore the amount of Earnout Shares and Earnout Cash for common stockholders is approximately $88,837,121 and 22,209,280 shares, respectively.</w:t>
      </w:r>
    </w:p>
    <w:p>
      <w:pPr>
        <w:spacing w:after="0" w:line="192"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Each option and warrant of NeuroRx that was outstanding and unexercised immediately prior to the Effective Time (whether vested or unvested) was assumed by BRPA and converted into an option or warrant to acquire an adjusted number of shares of Common Stock at an adjusted exercise price per share, in each case, pursuant to the terms of the Merger Agreement (the “Substitute Options” and the “Substitute Warrants,” respectively), based on an exchange ratio of 4.96:1 (the “Option Exchange Ratio”), and would continue to be governed by substantially the same terms and conditions, including vesting, as were applicable to the original instruments.</w:t>
      </w:r>
    </w:p>
    <w:p>
      <w:pPr>
        <w:spacing w:after="0" w:line="155" w:lineRule="exact"/>
        <w:rPr>
          <w:sz w:val="20"/>
          <w:szCs w:val="20"/>
          <w:color w:val="auto"/>
        </w:rPr>
      </w:pPr>
    </w:p>
    <w:p>
      <w:pPr>
        <w:jc w:val="both"/>
        <w:ind w:left="40" w:right="39"/>
        <w:spacing w:after="0" w:line="253" w:lineRule="auto"/>
        <w:rPr>
          <w:sz w:val="20"/>
          <w:szCs w:val="20"/>
          <w:color w:val="auto"/>
        </w:rPr>
      </w:pPr>
      <w:r>
        <w:rPr>
          <w:rFonts w:ascii="Times New Roman" w:cs="Times New Roman" w:eastAsia="Times New Roman" w:hAnsi="Times New Roman"/>
          <w:sz w:val="15"/>
          <w:szCs w:val="15"/>
          <w:color w:val="auto"/>
        </w:rPr>
        <w:t>In the event that either the Earnout Shares Milestone or the Earnout Cash Milestone does not occur prior to December 31, 2022, each Substitute Option and Substitute Warrant will be automatically adjusted based on the Merger Agreement such that the number of shares of Common Stock subject to each adjusted Substitute Option or Substitute Warrant, the exercise price per share of each adjusted Substitute Option or Substitute Warrant and the aggregate intrinsic value of each adjusted Substitute Option or Substitute Warrant will equal the respective number of shares, exercise price per share and aggregate intrinsic value that would have resulted following the adjustment of the applicable underlying such option or warrant had the conversion of the legacy NeuroRx option and warrants into the Substitute Options or Substitute Warrants been applied using the Exchange Ratio (3.16:1). If neither the Earnout Shares Milestone nor the Earnout Cash Milestone occurs, each Substitute Option and Warrant will be adjusted based on the Exchange Ratio. If any Substitute Options or Substitute Warrants are exercised prior to the earlier of (i) the date that both the Earnout Shares Milestone and Earnout Cash Milestone occur and (ii) December 31, 2022, a sufficient number of shares of Common Stock will be held in escrow pending the applicable adjustment to such Substitute Options or Substitute Warrants. Following the determination of that adjustment, NRx Pharmaceuticals will retain any shares forfeited by the option or warrant holder in connection with the adjustment and return any remaining shares to the option or warrant holder.</w:t>
      </w:r>
    </w:p>
    <w:p>
      <w:pPr>
        <w:spacing w:after="0" w:line="16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In connection with the Merger, a number of subscribers (each, a “Subscriber”) purchased from the Company an aggregate of 1,000,000 shares of Common Stock (the “PIPE”), for a purchase price of $10.00 per share and an aggregate purchase price of $10,000,000 (the “PIPE Shares”), pursuant to separate subscription agreements (each, a “Subscription Agreement”) entered into prior to the Closing Date.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ind w:left="40" w:right="59"/>
        <w:spacing w:after="0" w:line="280" w:lineRule="auto"/>
        <w:rPr>
          <w:sz w:val="20"/>
          <w:szCs w:val="20"/>
          <w:color w:val="auto"/>
        </w:rPr>
      </w:pPr>
      <w:r>
        <w:rPr>
          <w:rFonts w:ascii="Times New Roman" w:cs="Times New Roman" w:eastAsia="Times New Roman" w:hAnsi="Times New Roman"/>
          <w:sz w:val="15"/>
          <w:szCs w:val="15"/>
          <w:color w:val="auto"/>
        </w:rPr>
        <w:t>The following table reconciles the elements of the Merger to the Unaudited Condensed Consolidated Statement of Cash Flows for the six months ended June 30, 2021:</w:t>
      </w:r>
    </w:p>
    <w:p>
      <w:pPr>
        <w:sectPr>
          <w:pgSz w:w="11900" w:h="16838" w:orient="portrait"/>
          <w:cols w:equalWidth="0" w:num="1">
            <w:col w:w="9019"/>
          </w:cols>
          <w:pgMar w:left="1440" w:top="452" w:right="1440" w:bottom="1440" w:gutter="0" w:footer="0" w:header="0"/>
        </w:sectPr>
      </w:pP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Cash - BRPA trust and cash,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-106680</wp:posOffset>
            </wp:positionV>
            <wp:extent cx="5673725" cy="121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3725" cy="12192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Cash - PIPE financing, net of transaction costs</w:t>
      </w:r>
    </w:p>
    <w:p>
      <w:pPr>
        <w:spacing w:after="0" w:line="8" w:lineRule="exact"/>
        <w:rPr>
          <w:sz w:val="20"/>
          <w:szCs w:val="20"/>
          <w:color w:val="auto"/>
        </w:rPr>
      </w:pPr>
    </w:p>
    <w:p>
      <w:pPr>
        <w:ind w:left="40" w:right="3000"/>
        <w:spacing w:after="0" w:line="293" w:lineRule="auto"/>
        <w:rPr>
          <w:sz w:val="20"/>
          <w:szCs w:val="20"/>
          <w:color w:val="auto"/>
        </w:rPr>
      </w:pPr>
      <w:r>
        <w:rPr>
          <w:rFonts w:ascii="Times New Roman" w:cs="Times New Roman" w:eastAsia="Times New Roman" w:hAnsi="Times New Roman"/>
          <w:sz w:val="15"/>
          <w:szCs w:val="15"/>
          <w:color w:val="auto"/>
        </w:rPr>
        <w:t>Less: transaction costs and advisory fees allocated to NRXP equity Effect of Merger, net of redemptions and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-266065</wp:posOffset>
            </wp:positionV>
            <wp:extent cx="5673725"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3725"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Recapitalization</w:t>
      </w:r>
    </w:p>
    <w:p>
      <w:pPr>
        <w:spacing w:after="0" w:line="20" w:lineRule="exact"/>
        <w:rPr>
          <w:sz w:val="20"/>
          <w:szCs w:val="20"/>
          <w:color w:val="auto"/>
        </w:rPr>
      </w:pPr>
    </w:p>
    <w:p>
      <w:pPr>
        <w:ind w:left="540" w:hanging="531"/>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4,362,474</w:t>
      </w:r>
    </w:p>
    <w:p>
      <w:pPr>
        <w:spacing w:after="0" w:line="5"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8,100,000</w:t>
      </w:r>
    </w:p>
    <w:p>
      <w:pPr>
        <w:spacing w:after="0" w:line="8"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5"/>
          <w:szCs w:val="15"/>
          <w:color w:val="auto"/>
        </w:rPr>
        <w:t>(1,412,846)</w:t>
      </w:r>
    </w:p>
    <w:p>
      <w:pPr>
        <w:spacing w:after="0" w:line="8" w:lineRule="exact"/>
        <w:rPr>
          <w:sz w:val="20"/>
          <w:szCs w:val="20"/>
          <w:color w:val="auto"/>
        </w:rPr>
      </w:pPr>
    </w:p>
    <w:p>
      <w:pPr>
        <w:ind w:left="480" w:hanging="471"/>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11,049,628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wp:posOffset>
            </wp:positionV>
            <wp:extent cx="75120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51205" cy="69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27305</wp:posOffset>
            </wp:positionV>
            <wp:extent cx="75120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1205" cy="69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-107950</wp:posOffset>
            </wp:positionV>
            <wp:extent cx="75120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51205" cy="6985"/>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7060" w:space="720"/>
            <w:col w:w="1239"/>
          </w:cols>
          <w:pgMar w:left="1440" w:top="452" w:right="1440" w:bottom="1440" w:gutter="0" w:footer="0" w:header="0"/>
          <w:type w:val="continuous"/>
        </w:sectPr>
      </w:pPr>
    </w:p>
    <w:p>
      <w:pPr>
        <w:ind w:left="40" w:right="39"/>
        <w:spacing w:after="0" w:line="280" w:lineRule="auto"/>
        <w:rPr>
          <w:sz w:val="20"/>
          <w:szCs w:val="20"/>
          <w:color w:val="auto"/>
        </w:rPr>
      </w:pPr>
      <w:r>
        <w:rPr>
          <w:rFonts w:ascii="Times New Roman" w:cs="Times New Roman" w:eastAsia="Times New Roman" w:hAnsi="Times New Roman"/>
          <w:sz w:val="15"/>
          <w:szCs w:val="15"/>
          <w:color w:val="auto"/>
        </w:rPr>
        <w:t>The following table reconciles the elements of the Merger to the Unaudited Condensed Consolidated Statements of Changes in Stockholders' Equity (Deficit) for the six months ended June 30, 2021:</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70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Recapitalization (As restated)</w:t>
            </w:r>
          </w:p>
        </w:tc>
      </w:tr>
      <w:tr>
        <w:trPr>
          <w:trHeight w:val="17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 BRPA trust and cash, net of redemptions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4,362,474</w:t>
            </w:r>
          </w:p>
        </w:tc>
      </w:tr>
      <w:tr>
        <w:trPr>
          <w:trHeight w:val="180"/>
        </w:trPr>
        <w:tc>
          <w:tcPr>
            <w:tcW w:w="7080" w:type="dxa"/>
            <w:vAlign w:val="bottom"/>
          </w:tcPr>
          <w:p>
            <w:pPr>
              <w:spacing w:after="0"/>
              <w:rPr>
                <w:sz w:val="20"/>
                <w:szCs w:val="20"/>
                <w:color w:val="auto"/>
              </w:rPr>
            </w:pPr>
            <w:r>
              <w:rPr>
                <w:rFonts w:ascii="Times New Roman" w:cs="Times New Roman" w:eastAsia="Times New Roman" w:hAnsi="Times New Roman"/>
                <w:sz w:val="15"/>
                <w:szCs w:val="15"/>
                <w:color w:val="auto"/>
              </w:rPr>
              <w:t>Non-cash net working capital assumed from BRPA</w:t>
            </w: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(961,555)</w:t>
            </w:r>
          </w:p>
        </w:tc>
      </w:tr>
      <w:tr>
        <w:trPr>
          <w:trHeight w:val="18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notes payable assumed from BRPA</w:t>
            </w: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(1,100,000)</w:t>
            </w:r>
          </w:p>
        </w:tc>
      </w:tr>
      <w:tr>
        <w:trPr>
          <w:trHeight w:val="166"/>
        </w:trPr>
        <w:tc>
          <w:tcPr>
            <w:tcW w:w="70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Less: fair value of assumed Placement Warrants</w:t>
            </w:r>
          </w:p>
        </w:tc>
        <w:tc>
          <w:tcPr>
            <w:tcW w:w="120" w:type="dxa"/>
            <w:vAlign w:val="bottom"/>
          </w:tcPr>
          <w:p>
            <w:pPr>
              <w:spacing w:after="0"/>
              <w:rPr>
                <w:sz w:val="14"/>
                <w:szCs w:val="14"/>
                <w:color w:val="auto"/>
              </w:rPr>
            </w:pPr>
          </w:p>
        </w:tc>
        <w:tc>
          <w:tcPr>
            <w:tcW w:w="17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(1,983,674)</w:t>
            </w:r>
          </w:p>
        </w:tc>
      </w:tr>
      <w:tr>
        <w:trPr>
          <w:trHeight w:val="194"/>
        </w:trPr>
        <w:tc>
          <w:tcPr>
            <w:tcW w:w="7080" w:type="dxa"/>
            <w:vAlign w:val="bottom"/>
          </w:tcPr>
          <w:p>
            <w:pPr>
              <w:spacing w:after="0"/>
              <w:rPr>
                <w:sz w:val="20"/>
                <w:szCs w:val="20"/>
                <w:color w:val="auto"/>
              </w:rPr>
            </w:pPr>
            <w:r>
              <w:rPr>
                <w:rFonts w:ascii="Times New Roman" w:cs="Times New Roman" w:eastAsia="Times New Roman" w:hAnsi="Times New Roman"/>
                <w:sz w:val="15"/>
                <w:szCs w:val="15"/>
                <w:color w:val="auto"/>
              </w:rPr>
              <w:t>Less: fair value of legacy NeuroRx Warrants</w:t>
            </w: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(38,220,448)</w:t>
            </w:r>
          </w:p>
        </w:tc>
      </w:tr>
      <w:tr>
        <w:trPr>
          <w:trHeight w:val="181"/>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fair value of Earnout Cash</w:t>
            </w: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(25,520,195)</w:t>
            </w:r>
          </w:p>
        </w:tc>
      </w:tr>
      <w:tr>
        <w:trPr>
          <w:trHeight w:val="180"/>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transaction costs and advisory fees allocated to NRXP equity</w:t>
            </w: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(1,412,846)</w:t>
            </w:r>
          </w:p>
        </w:tc>
      </w:tr>
      <w:tr>
        <w:trPr>
          <w:trHeight w:val="172"/>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Merger, net of redemptions and transaction costs</w:t>
            </w: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(64,836,244)</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details the number of shares of common stock issued immediately following the consummation of the Merger:</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774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Number of Shares</w:t>
            </w:r>
          </w:p>
        </w:tc>
      </w:tr>
      <w:tr>
        <w:trPr>
          <w:trHeight w:val="172"/>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outstanding prior to Merger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552,412</w:t>
            </w:r>
          </w:p>
        </w:tc>
      </w:tr>
      <w:tr>
        <w:trPr>
          <w:trHeight w:val="180"/>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redemption of BRPA shares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w:t>
            </w:r>
          </w:p>
        </w:tc>
      </w:tr>
      <w:tr>
        <w:trPr>
          <w:trHeight w:val="172"/>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of BRPA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552,196</w:t>
            </w:r>
          </w:p>
        </w:tc>
      </w:tr>
      <w:tr>
        <w:trPr>
          <w:trHeight w:val="180"/>
        </w:trPr>
        <w:tc>
          <w:tcPr>
            <w:tcW w:w="7740" w:type="dxa"/>
            <w:vAlign w:val="bottom"/>
          </w:tcPr>
          <w:p>
            <w:pPr>
              <w:spacing w:after="0"/>
              <w:rPr>
                <w:sz w:val="20"/>
                <w:szCs w:val="20"/>
                <w:color w:val="auto"/>
              </w:rPr>
            </w:pPr>
            <w:r>
              <w:rPr>
                <w:rFonts w:ascii="Times New Roman" w:cs="Times New Roman" w:eastAsia="Times New Roman" w:hAnsi="Times New Roman"/>
                <w:sz w:val="15"/>
                <w:szCs w:val="15"/>
                <w:color w:val="auto"/>
              </w:rPr>
              <w:t>BRPA Founder and private shares, net of forfeited shares of 875,216</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1,260,284</w:t>
            </w:r>
          </w:p>
        </w:tc>
      </w:tr>
      <w:tr>
        <w:trPr>
          <w:trHeight w:val="18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issued in PIPE Financing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r>
      <w:tr>
        <w:trPr>
          <w:trHeight w:val="180"/>
        </w:trPr>
        <w:tc>
          <w:tcPr>
            <w:tcW w:w="7740" w:type="dxa"/>
            <w:vAlign w:val="bottom"/>
          </w:tcPr>
          <w:p>
            <w:pPr>
              <w:spacing w:after="0"/>
              <w:rPr>
                <w:sz w:val="20"/>
                <w:szCs w:val="20"/>
                <w:color w:val="auto"/>
              </w:rPr>
            </w:pPr>
            <w:r>
              <w:rPr>
                <w:rFonts w:ascii="Times New Roman" w:cs="Times New Roman" w:eastAsia="Times New Roman" w:hAnsi="Times New Roman"/>
                <w:sz w:val="15"/>
                <w:szCs w:val="15"/>
                <w:color w:val="auto"/>
              </w:rPr>
              <w:t>Shares issued for services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200,000</w:t>
            </w:r>
          </w:p>
        </w:tc>
      </w:tr>
      <w:tr>
        <w:trPr>
          <w:trHeight w:val="18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issued pursuant to conversion of Public and Private Rights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717,250</w:t>
            </w:r>
          </w:p>
        </w:tc>
      </w:tr>
      <w:tr>
        <w:trPr>
          <w:trHeight w:val="172"/>
        </w:trPr>
        <w:tc>
          <w:tcPr>
            <w:tcW w:w="7740" w:type="dxa"/>
            <w:vAlign w:val="bottom"/>
          </w:tcPr>
          <w:p>
            <w:pPr>
              <w:spacing w:after="0"/>
              <w:rPr>
                <w:sz w:val="20"/>
                <w:szCs w:val="20"/>
                <w:color w:val="auto"/>
              </w:rPr>
            </w:pPr>
            <w:r>
              <w:rPr>
                <w:rFonts w:ascii="Times New Roman" w:cs="Times New Roman" w:eastAsia="Times New Roman" w:hAnsi="Times New Roman"/>
                <w:sz w:val="15"/>
                <w:szCs w:val="15"/>
                <w:color w:val="auto"/>
              </w:rPr>
              <w:t>Merger and PIPE financing shares - common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3,729,730</w:t>
            </w:r>
          </w:p>
        </w:tc>
      </w:tr>
      <w:tr>
        <w:trPr>
          <w:trHeight w:val="18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NeuroRx shares - common stock (1)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44,873,855</w:t>
            </w:r>
          </w:p>
        </w:tc>
      </w:tr>
      <w:tr>
        <w:trPr>
          <w:trHeight w:val="172"/>
        </w:trPr>
        <w:tc>
          <w:tcPr>
            <w:tcW w:w="7740" w:type="dxa"/>
            <w:vAlign w:val="bottom"/>
          </w:tcPr>
          <w:p>
            <w:pPr>
              <w:spacing w:after="0"/>
              <w:rPr>
                <w:sz w:val="20"/>
                <w:szCs w:val="20"/>
                <w:color w:val="auto"/>
              </w:rPr>
            </w:pPr>
            <w:r>
              <w:rPr>
                <w:rFonts w:ascii="Times New Roman" w:cs="Times New Roman" w:eastAsia="Times New Roman" w:hAnsi="Times New Roman"/>
                <w:sz w:val="15"/>
                <w:szCs w:val="15"/>
                <w:color w:val="auto"/>
              </w:rPr>
              <w:t>Total shares of common stock immediately after Merger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48,603,585</w:t>
            </w:r>
          </w:p>
        </w:tc>
      </w:tr>
      <w:tr>
        <w:trPr>
          <w:trHeight w:val="20"/>
        </w:trPr>
        <w:tc>
          <w:tcPr>
            <w:tcW w:w="7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00" w:right="59" w:hanging="264"/>
        <w:spacing w:after="0" w:line="343" w:lineRule="auto"/>
        <w:tabs>
          <w:tab w:leader="none" w:pos="3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NeuroRx common stock was determined from the 14,200,586 shares of NeuroRx common stock outstanding immediately prior to the closing of the Merger converted at the Exchange Ratio. All fractional shares were rounded down.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6. Prepaid Expenses and Other Current Assets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Accrued and other current liabilities consisted of the following at the dates indicated:</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5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June 30, 2021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15"/>
        </w:trPr>
        <w:tc>
          <w:tcPr>
            <w:tcW w:w="5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10"/>
              <w:spacing w:after="0" w:line="115"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Prepaid insurance</w:t>
            </w:r>
          </w:p>
        </w:tc>
        <w:tc>
          <w:tcPr>
            <w:tcW w:w="840" w:type="dxa"/>
            <w:vAlign w:val="bottom"/>
            <w:gridSpan w:val="3"/>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3,347,172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49,029</w:t>
            </w:r>
          </w:p>
        </w:tc>
        <w:tc>
          <w:tcPr>
            <w:tcW w:w="0" w:type="dxa"/>
            <w:vAlign w:val="bottom"/>
          </w:tcPr>
          <w:p>
            <w:pPr>
              <w:spacing w:after="0"/>
              <w:rPr>
                <w:sz w:val="1"/>
                <w:szCs w:val="1"/>
                <w:color w:val="auto"/>
              </w:rPr>
            </w:pPr>
          </w:p>
        </w:tc>
      </w:tr>
      <w:tr>
        <w:trPr>
          <w:trHeight w:val="180"/>
        </w:trPr>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Prepaid manufacturing expenses</w:t>
            </w: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1,407,500</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58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prepaid expenses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341,336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164,772</w:t>
            </w:r>
          </w:p>
        </w:tc>
        <w:tc>
          <w:tcPr>
            <w:tcW w:w="0" w:type="dxa"/>
            <w:vAlign w:val="bottom"/>
          </w:tcPr>
          <w:p>
            <w:pPr>
              <w:spacing w:after="0"/>
              <w:rPr>
                <w:sz w:val="1"/>
                <w:szCs w:val="1"/>
                <w:color w:val="auto"/>
              </w:rPr>
            </w:pPr>
          </w:p>
        </w:tc>
      </w:tr>
      <w:tr>
        <w:trPr>
          <w:trHeight w:val="180"/>
        </w:trPr>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Prepaid income taxes</w:t>
            </w: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51,642</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58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current assets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26,551</w:t>
            </w:r>
          </w:p>
        </w:tc>
        <w:tc>
          <w:tcPr>
            <w:tcW w:w="0" w:type="dxa"/>
            <w:vAlign w:val="bottom"/>
          </w:tcPr>
          <w:p>
            <w:pPr>
              <w:spacing w:after="0"/>
              <w:rPr>
                <w:sz w:val="1"/>
                <w:szCs w:val="1"/>
                <w:color w:val="auto"/>
              </w:rPr>
            </w:pPr>
          </w:p>
        </w:tc>
      </w:tr>
      <w:tr>
        <w:trPr>
          <w:trHeight w:val="172"/>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prepaid expenses and other current assets</w:t>
            </w: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5,147,650</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240,352</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7. Accrued and Other Current Liabilities</w:t>
            </w:r>
          </w:p>
        </w:tc>
        <w:tc>
          <w:tcPr>
            <w:tcW w:w="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Accrued and other current liabilities consisted of the following at the dates indicated:</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2"/>
                <w:szCs w:val="12"/>
                <w:b w:val="1"/>
                <w:bCs w:val="1"/>
                <w:color w:val="auto"/>
              </w:rPr>
              <w:t>2020</w:t>
            </w:r>
          </w:p>
        </w:tc>
        <w:tc>
          <w:tcPr>
            <w:tcW w:w="0" w:type="dxa"/>
            <w:vAlign w:val="bottom"/>
          </w:tcPr>
          <w:p>
            <w:pPr>
              <w:spacing w:after="0"/>
              <w:rPr>
                <w:sz w:val="1"/>
                <w:szCs w:val="1"/>
                <w:color w:val="auto"/>
              </w:rPr>
            </w:pPr>
          </w:p>
        </w:tc>
      </w:tr>
      <w:tr>
        <w:trPr>
          <w:trHeight w:val="115"/>
        </w:trPr>
        <w:tc>
          <w:tcPr>
            <w:tcW w:w="5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50"/>
              <w:spacing w:after="0" w:line="115"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and other current liabilities:</w:t>
            </w: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Accrued research and development expenses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826,442</w:t>
            </w:r>
          </w:p>
        </w:tc>
        <w:tc>
          <w:tcPr>
            <w:tcW w:w="380" w:type="dxa"/>
            <w:vAlign w:val="bottom"/>
            <w:gridSpan w:val="5"/>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586,426</w:t>
            </w:r>
          </w:p>
        </w:tc>
        <w:tc>
          <w:tcPr>
            <w:tcW w:w="0" w:type="dxa"/>
            <w:vAlign w:val="bottom"/>
          </w:tcPr>
          <w:p>
            <w:pPr>
              <w:spacing w:after="0"/>
              <w:rPr>
                <w:sz w:val="1"/>
                <w:szCs w:val="1"/>
                <w:color w:val="auto"/>
              </w:rPr>
            </w:pPr>
          </w:p>
        </w:tc>
      </w:tr>
      <w:tr>
        <w:trPr>
          <w:trHeight w:val="180"/>
        </w:trPr>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Accrued employee expenses</w:t>
            </w: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77,196</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530,500</w:t>
            </w:r>
          </w:p>
        </w:tc>
        <w:tc>
          <w:tcPr>
            <w:tcW w:w="0" w:type="dxa"/>
            <w:vAlign w:val="bottom"/>
          </w:tcPr>
          <w:p>
            <w:pPr>
              <w:spacing w:after="0"/>
              <w:rPr>
                <w:sz w:val="1"/>
                <w:szCs w:val="1"/>
                <w:color w:val="auto"/>
              </w:rPr>
            </w:pPr>
          </w:p>
        </w:tc>
      </w:tr>
      <w:tr>
        <w:trPr>
          <w:trHeight w:val="180"/>
        </w:trPr>
        <w:tc>
          <w:tcPr>
            <w:tcW w:w="58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Professional services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185,170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606,553</w:t>
            </w:r>
          </w:p>
        </w:tc>
        <w:tc>
          <w:tcPr>
            <w:tcW w:w="0" w:type="dxa"/>
            <w:vAlign w:val="bottom"/>
          </w:tcPr>
          <w:p>
            <w:pPr>
              <w:spacing w:after="0"/>
              <w:rPr>
                <w:sz w:val="1"/>
                <w:szCs w:val="1"/>
                <w:color w:val="auto"/>
              </w:rPr>
            </w:pPr>
          </w:p>
        </w:tc>
      </w:tr>
      <w:tr>
        <w:trPr>
          <w:trHeight w:val="180"/>
        </w:trPr>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accrued expenses</w:t>
            </w: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417,529</w:t>
            </w: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5,004</w:t>
            </w:r>
          </w:p>
        </w:tc>
        <w:tc>
          <w:tcPr>
            <w:tcW w:w="0" w:type="dxa"/>
            <w:vAlign w:val="bottom"/>
          </w:tcPr>
          <w:p>
            <w:pPr>
              <w:spacing w:after="0"/>
              <w:rPr>
                <w:sz w:val="1"/>
                <w:szCs w:val="1"/>
                <w:color w:val="auto"/>
              </w:rPr>
            </w:pPr>
          </w:p>
        </w:tc>
      </w:tr>
      <w:tr>
        <w:trPr>
          <w:trHeight w:val="172"/>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Total accrued and other current liabilities</w:t>
            </w:r>
          </w:p>
        </w:tc>
        <w:tc>
          <w:tcPr>
            <w:tcW w:w="72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1,506,337</w:t>
            </w:r>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1,728,483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8. Convertible Notes Payable</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On February 12, 2020, a Qualified Financing Event (as defined below) occurred when the Company received cumulative investment proceeds in excess of $10,000,000 from the sale and issuance of common shares. The fair value of the Company’s common shares was $10.63 per share. The 2017 Notes (as defined below) and the 2018 Notes (as defined below) in the aggregate principal amount of $2,800,000 were converted into 1,005,458 common shares (at the discounted price of $2.78 per share), and the related unpaid and accrued interest totaling $369,660 were also converted into 132,739 common shares of the Company (at the discounted price of $2.78 per share). Additionally, the Company recognized a loss on extinguishment for the difference between the carrying value of the convertible notes, unamortized debt discount, and the value of the embedded put option and the fair value of the common shares of $0 and $306,641 during the three months ended and six months ended June 30, 2020, respectively. The Company issued the shares of common stock pursuant to this conversion on September 23, 2020.</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2017 Convertible Notes Payable</w:t>
      </w:r>
    </w:p>
    <w:p>
      <w:pPr>
        <w:spacing w:after="0" w:line="19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color w:val="auto"/>
        </w:rPr>
        <w:t>On November 16, 2017 and November 19, 2017, the Company issued convertible notes (“2017 Notes”), as amended for aggregate gross proceeds of $2,500,000. The 2017 Notes accrued interest at a rate of 6% per annum and principal and interest were due and payable four years from the date of issuance. Upon either a sale of the Company’s assets or all of its capital stock, or a change of control, the principal balance would double and be repaid. Upon closing of either a sale of the Company’s shares for at least $10,000,000 or a public offering of the Company’s securities (“Qualified Financing Event”), the outstanding principal balance will be converted into the number of such securities sold at a conversion price equal to 80% of the securities negotiated share price.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2018 Convertible Notes Payable</w:t>
      </w:r>
    </w:p>
    <w:p>
      <w:pPr>
        <w:spacing w:after="0" w:line="192" w:lineRule="exact"/>
        <w:rPr>
          <w:sz w:val="20"/>
          <w:szCs w:val="20"/>
          <w:color w:val="auto"/>
        </w:rPr>
      </w:pPr>
    </w:p>
    <w:p>
      <w:pPr>
        <w:jc w:val="both"/>
        <w:ind w:left="40" w:right="39"/>
        <w:spacing w:after="0" w:line="256" w:lineRule="auto"/>
        <w:rPr>
          <w:sz w:val="20"/>
          <w:szCs w:val="20"/>
          <w:color w:val="auto"/>
        </w:rPr>
      </w:pPr>
      <w:r>
        <w:rPr>
          <w:rFonts w:ascii="Times New Roman" w:cs="Times New Roman" w:eastAsia="Times New Roman" w:hAnsi="Times New Roman"/>
          <w:sz w:val="15"/>
          <w:szCs w:val="15"/>
          <w:color w:val="auto"/>
        </w:rPr>
        <w:t>On January 5, 2018 and April 25, 2018, the Company issued convertible notes (“2018 Notes”), as amended for aggregate gross proceeds of $300,000. The 2018 Notes accrued interest at a rate of 6% per annum and were due and payable four years from the date of issuance. Upon either a sale of the Company’s assets or all of its capital stock, or a change of control, the principal balance would double and be repaid. Upon closing of either a sale of the Company’s shares for at least $10,000,000 or a public offering of the Company’s securities (“Qualified Financing Event”), the outstanding principal balance will be converted into the number of such securities sold at a conversion price equal to 80% of the securities negotiated share price.</w:t>
      </w:r>
    </w:p>
    <w:p>
      <w:pPr>
        <w:spacing w:after="0" w:line="158" w:lineRule="exact"/>
        <w:rPr>
          <w:sz w:val="20"/>
          <w:szCs w:val="20"/>
          <w:color w:val="auto"/>
        </w:rPr>
      </w:pPr>
    </w:p>
    <w:p>
      <w:pPr>
        <w:jc w:val="both"/>
        <w:ind w:left="40" w:right="39"/>
        <w:spacing w:after="0" w:line="265" w:lineRule="auto"/>
        <w:rPr>
          <w:sz w:val="20"/>
          <w:szCs w:val="20"/>
          <w:color w:val="auto"/>
        </w:rPr>
      </w:pPr>
      <w:r>
        <w:rPr>
          <w:rFonts w:ascii="Times New Roman" w:cs="Times New Roman" w:eastAsia="Times New Roman" w:hAnsi="Times New Roman"/>
          <w:sz w:val="15"/>
          <w:szCs w:val="15"/>
          <w:color w:val="auto"/>
        </w:rPr>
        <w:t>The proceeds received upon issuing the 2017 Notes and 2018 Notes were first allocated to the fair value of the embedded put with the remainder to the debt host instrument. The Company recognized a loss of $0 and $0 during the three months ended June 30, 2021 and 2020, respectively, and $0 and $27,160 during the six months ended June 30, 2021 and 2020, respectively, due to the estimated increase in fair value of the embedded put.</w:t>
      </w:r>
    </w:p>
    <w:p>
      <w:pPr>
        <w:spacing w:after="0" w:line="150"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discount is amortized to interest expense over the term of the debt. The Company amortized debt discount of $0 to interest expense during the three months ended June 30, 2021 and 2020, and $0 and $16,454 during the six months ended June 30,2021 and 2020, respectively. The Company paid no interest during the three months ended and six months ended June 30, 2021 and 2020.</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9. Notes Payable</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Note Payable -- Related Party</w:t>
      </w:r>
    </w:p>
    <w:p>
      <w:pPr>
        <w:spacing w:after="0" w:line="192"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On July 1, 2019, the Company converted certain accounts payable into a loan (the “Note Payable — Related Party”) with a related party in the amount of $154,190. The loan, in the form of a promissory note, matures on July 1, 2020. The principal amount of the loan and any accrued but unpaid interest shall be due and payable beginning July 1, 2019. All payments shall be applied first to accrued but unpaid interest, and then to outstanding principal. If not sooner paid, the entire remaining indebtedness (including accrued interest) shall be due and payable on July 1, 2020. The loan bears interest, compounded daily, at 6% annual interest. The loan continues to accrue interest as it was not paid off upon maturity.</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Relief Therapeutics Loan</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On April 6, 2020, the Company entered into a loan agreement with Relief Therapeutics (the “Relief Therapeutics Loan”) in the amount of $500,000.</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loan matures on April 6, 2022 and bears interest at 2% per annum payable in arrears.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Paycheck Protection Program Loan</w:t>
      </w:r>
    </w:p>
    <w:p>
      <w:pPr>
        <w:spacing w:after="0" w:line="192" w:lineRule="exact"/>
        <w:rPr>
          <w:sz w:val="20"/>
          <w:szCs w:val="20"/>
          <w:color w:val="auto"/>
        </w:rPr>
      </w:pPr>
    </w:p>
    <w:p>
      <w:pPr>
        <w:jc w:val="both"/>
        <w:ind w:left="40" w:right="39"/>
        <w:spacing w:after="0" w:line="254" w:lineRule="auto"/>
        <w:rPr>
          <w:sz w:val="20"/>
          <w:szCs w:val="20"/>
          <w:color w:val="auto"/>
        </w:rPr>
      </w:pPr>
      <w:r>
        <w:rPr>
          <w:rFonts w:ascii="Times New Roman" w:cs="Times New Roman" w:eastAsia="Times New Roman" w:hAnsi="Times New Roman"/>
          <w:sz w:val="15"/>
          <w:szCs w:val="15"/>
          <w:color w:val="auto"/>
        </w:rPr>
        <w:t>On April 28, 2020, the Company received $119,842 in loan funding from the Paycheck Protection Program (the “PPP Loan”), established pursuant to the Coronavirus Aid, Relief, and Economic Security Act (the “CARES Act”) and administered by the U.S. Small Business Administration (“SBA”). The unsecured PPP Loan accrues interest on the outstanding principal at the rate of 1% per annum, and there is a six-month deferment period until equal installment payments of $6,744 of principal and interest are due. The term of the PPP Loan is two years. To the extent the loan amount is not forgiven under the PPP, the Company is obligated to make equal monthly payments of principal and interest, beginning seven months from the date of the Note, until the maturity date. The Loan amount may be eligible for forgiveness pursuant to (1) at least 75% of the loan proceeds are used to cover payroll costs and the remainder is used for mortgage interest, rent and utility costs over the eight-week period after the loan is made, and (2) the number of employees and compensation levels are generally maintained. Forgiveness of the loan is dependent on the Company having initially qualified for the loan and qualifying for the forgiveness of such loan based on future adherence to the forgiveness criteria. The Company used the entire PPP Loan for qualifying payroll expenses, and filed for loan forgiveness on December 30, 2020.</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 xml:space="preserve">The Company received full forgiveness of all outstanding principal and accrued and unpaid interest on the PPP Loan as of February 11, 2021. The forgiveness of the PPP Loan qualified for debt extinguishment in accordance with ASC 470-50, </w:t>
      </w:r>
      <w:r>
        <w:rPr>
          <w:rFonts w:ascii="Times New Roman" w:cs="Times New Roman" w:eastAsia="Times New Roman" w:hAnsi="Times New Roman"/>
          <w:sz w:val="15"/>
          <w:szCs w:val="15"/>
          <w:i w:val="1"/>
          <w:iCs w:val="1"/>
          <w:color w:val="auto"/>
        </w:rPr>
        <w:t>Debt Modifications and Extinguishments</w:t>
      </w:r>
      <w:r>
        <w:rPr>
          <w:rFonts w:ascii="Times New Roman" w:cs="Times New Roman" w:eastAsia="Times New Roman" w:hAnsi="Times New Roman"/>
          <w:sz w:val="15"/>
          <w:szCs w:val="15"/>
          <w:color w:val="auto"/>
        </w:rPr>
        <w:t>, and as a result, the outstanding principal and accrued and unpaid interest was written off in the amount of $119,842 and $968, respectively, and the Company recorded a gain on extinguishment totaling $120,810 for the six months ended June 30, 2021.</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summarizes the Company's outstanding notes payable as of the respective periods.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6"/>
        </w:trPr>
        <w:tc>
          <w:tcPr>
            <w:tcW w:w="4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115"/>
        </w:trPr>
        <w:tc>
          <w:tcPr>
            <w:tcW w:w="47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9"/>
              <w:spacing w:after="0" w:line="115"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8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 Payable — Related Party</w:t>
            </w:r>
          </w:p>
        </w:tc>
        <w:tc>
          <w:tcPr>
            <w:tcW w:w="19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154,190</w:t>
            </w:r>
          </w:p>
        </w:tc>
        <w:tc>
          <w:tcPr>
            <w:tcW w:w="2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154,190</w:t>
            </w:r>
          </w:p>
        </w:tc>
      </w:tr>
      <w:tr>
        <w:trPr>
          <w:trHeight w:val="180"/>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Relief Therapeutics Loan</w:t>
            </w: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r>
      <w:tr>
        <w:trPr>
          <w:trHeight w:val="18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Paycheck Protection Program Loan</w:t>
            </w: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119,842</w:t>
            </w:r>
          </w:p>
        </w:tc>
      </w:tr>
      <w:tr>
        <w:trPr>
          <w:trHeight w:val="172"/>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Carrying value of notes payable</w:t>
            </w:r>
          </w:p>
        </w:tc>
        <w:tc>
          <w:tcPr>
            <w:tcW w:w="18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654,190</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774,032</w:t>
            </w:r>
          </w:p>
        </w:tc>
      </w:tr>
      <w:tr>
        <w:trPr>
          <w:trHeight w:val="17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interest</w:t>
            </w:r>
          </w:p>
        </w:tc>
        <w:tc>
          <w:tcPr>
            <w:tcW w:w="18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31,976</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22,656</w:t>
            </w:r>
          </w:p>
        </w:tc>
      </w:tr>
      <w:tr>
        <w:trPr>
          <w:trHeight w:val="172"/>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Note payable</w:t>
            </w:r>
          </w:p>
        </w:tc>
        <w:tc>
          <w:tcPr>
            <w:tcW w:w="1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686,166</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796,688</w:t>
            </w:r>
          </w:p>
        </w:tc>
      </w:tr>
      <w:tr>
        <w:trPr>
          <w:trHeight w:val="17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Notes payable and accrued interest, current</w:t>
            </w:r>
          </w:p>
        </w:tc>
        <w:tc>
          <w:tcPr>
            <w:tcW w:w="18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173,694</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248,861</w:t>
            </w:r>
          </w:p>
        </w:tc>
      </w:tr>
      <w:tr>
        <w:trPr>
          <w:trHeight w:val="172"/>
        </w:trPr>
        <w:tc>
          <w:tcPr>
            <w:tcW w:w="47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Notes payable and accrued interest, non-current</w:t>
            </w:r>
          </w:p>
        </w:tc>
        <w:tc>
          <w:tcPr>
            <w:tcW w:w="1800" w:type="dxa"/>
            <w:vAlign w:val="bottom"/>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512,472</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547,827</w:t>
            </w:r>
          </w:p>
        </w:tc>
      </w:tr>
      <w:tr>
        <w:trPr>
          <w:trHeight w:val="20"/>
        </w:trPr>
        <w:tc>
          <w:tcPr>
            <w:tcW w:w="4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10. Commitments and Contingencies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Operating Lease</w:t>
      </w:r>
    </w:p>
    <w:p>
      <w:pPr>
        <w:spacing w:after="0" w:line="192"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The Company leases office space on a month-to-month basis. The rent expense for the three months ended June 30, 2021 and 2020 was $48,776 and $9,087, respectively, and for the six months ended June 30, 2021 and 2020 was $55,393 and $17,902, respectively.</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Sponsored Research Agreement with National Jewish Health</w:t>
      </w:r>
    </w:p>
    <w:p>
      <w:pPr>
        <w:spacing w:after="0" w:line="192" w:lineRule="exact"/>
        <w:rPr>
          <w:sz w:val="20"/>
          <w:szCs w:val="20"/>
          <w:color w:val="auto"/>
        </w:rPr>
      </w:pPr>
    </w:p>
    <w:p>
      <w:pPr>
        <w:jc w:val="both"/>
        <w:ind w:left="40" w:right="39"/>
        <w:spacing w:after="0" w:line="256" w:lineRule="auto"/>
        <w:rPr>
          <w:sz w:val="20"/>
          <w:szCs w:val="20"/>
          <w:color w:val="auto"/>
        </w:rPr>
      </w:pPr>
      <w:r>
        <w:rPr>
          <w:rFonts w:ascii="Times New Roman" w:cs="Times New Roman" w:eastAsia="Times New Roman" w:hAnsi="Times New Roman"/>
          <w:sz w:val="15"/>
          <w:szCs w:val="15"/>
          <w:color w:val="auto"/>
        </w:rPr>
        <w:t>On February 8, 2021, the Company entered into a Sponsored Research Agreement (“Research Agreement”) with National Jewish Health (“NJ Health”), a Colorado not-for-profit institution. Under the terms of the Research Agreement, NRx Pharmaceuticals agreed to sponsor a research study at NJ Health relating to the impact of NRx Pharmaceuticals' Aviptadil on propagation of SARS-CoV-2 in alveolar type II cells in vitro (the “Study”). In return for performance of the Study under the Research Agreement, NRx Pharmaceuticals has committed to pay NJ Health approximately $360,450. During the three months ended and six months ended June 30, 2021, NRx Pharmaceuticals paid NJ Health $0 and $126,157, respectively, of the total committed amount.</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Aviptadil Manufacturing, Production, Supply and Distribution Agreements</w:t>
      </w:r>
    </w:p>
    <w:p>
      <w:pPr>
        <w:spacing w:after="0" w:line="19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On August 25, 2020, NRx Pharmaceuticals and Nephron Pharmaceuticals Corporation (“Nephron”) signed an agreement for the manufacturing of finished pharmaceutical product of Aviptadil intravenous formulation and the development of an inhaled (nebulizer) formulation of Aviptadil. Nephron will serve as the exclusive and primary supplier of the product for both clinical and commercial purposes, supplying 100% of the Company’s annual requirements. The Company has agreed to purchase products from Nephron for a fixed price.</w:t>
      </w:r>
    </w:p>
    <w:p>
      <w:pPr>
        <w:spacing w:after="0" w:line="154"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On September 29, 2020, NRx Pharmaceuticals and Cardinal Health signed an exclusive distribution agreement, as well as a 3rd party logistics agreement on October 1, 2020. Cardinal Health will manage warehousing, distribution, invoicing for the potential sale of Aviptadil in the United States and Puerto Rico.</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On October 9, 2020, NRx Pharmaceuticals signed an agreement with Polypeptide for the supply of GMP grade Active Pharmaceutical Ingredient (API) Aviptadil (VIP). This gives NRx Pharmaceuticals a second source of procuring API. The Company has agreed to purchase a total of $1,010,000 worth of product and services over the contract.</w:t>
      </w:r>
    </w:p>
    <w:p>
      <w:pPr>
        <w:spacing w:after="0" w:line="150"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On January 4, 2021, NRx Pharmaceuticals and Aerogen Limited (“Aerogen”) signed a supply agreement for the supply of certain products, including the Aerogen Solo Nebulizer System and Aerogen Ultra, solely for the purposes of carrying out clinical trials relating to inhalation delivery of Aviptadil for treatment of pulmonary insufficiency and respiratory distress in COVID-19 patients. Pill Tracker is an agent of NRx Pharmaceuticals per the supply agreement (see Note 15).</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Relief Therapeutics Collaboration Agreement</w:t>
      </w:r>
    </w:p>
    <w:p>
      <w:pPr>
        <w:spacing w:after="0" w:line="192" w:lineRule="exact"/>
        <w:rPr>
          <w:sz w:val="20"/>
          <w:szCs w:val="20"/>
          <w:color w:val="auto"/>
        </w:rPr>
      </w:pPr>
    </w:p>
    <w:p>
      <w:pPr>
        <w:jc w:val="both"/>
        <w:ind w:left="40" w:right="39"/>
        <w:spacing w:after="0" w:line="244" w:lineRule="auto"/>
        <w:rPr>
          <w:sz w:val="20"/>
          <w:szCs w:val="20"/>
          <w:color w:val="auto"/>
        </w:rPr>
      </w:pPr>
      <w:r>
        <w:rPr>
          <w:rFonts w:ascii="Times New Roman" w:cs="Times New Roman" w:eastAsia="Times New Roman" w:hAnsi="Times New Roman"/>
          <w:sz w:val="15"/>
          <w:szCs w:val="15"/>
          <w:color w:val="auto"/>
        </w:rPr>
        <w:t>On September 18, 2020, the Company entered into a collaboration agreement with Relief for the clinical development and if approved the sale of Aviptadil. The collaboration provides for funding by Relief of certain clinical trials. If such candidate is approved by the FDA, the Company shall receive 50% of net product profits from the product sales in the NRx Pharmaceuticals territory, which includes the United States, Canada, and Israel; 15% of net product profits from the product sales in the Relief Therapeutics territory, which includes the European Union, Switzerland, Iceland, Norway, the UK, the Channel Islands, Liechtenstein, Monaco, Andorra, Malta, San Marino, and Vatican City; and 20% of net product profits from the product sales in all other countries. During 2021, the Company invoiced Relief $5,984,679 for reimbursable expenses and received $770,444 in payments from Relief for these reimbursable expenses. The Company recorded an allowance for doubtful accounts of $5,470,897 as of June 30, 2021, due to the fact that the Company does not expect to receive payment for the remaining invoices, thus fully reserving for the accounts receivable balance. As of the date of this filing, Relief has reimbursed NRx Pharmaceuticals $10,904,065 for expenses, but has subsequently declined to pay approximately $6 million in invoiced costs associated with conduct of the IV clinical trial, reformulation, and manufacture of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Relief has additionally declined to fund the costs of the inhaled trial. NRx Pharmaceuticals advised Relief that NRx Pharmaceuticals is funding those costs with other capital. NRx Pharmaceuticals further advised Relief in December 2020 that the formulation data provided to NRx Pharmaceuticals as part of the collaboration agreement was non-reproducible. Relief subsequently issued a public disclosure acknowledging that Relief knew about the stability problems at the time of the collaboration agreement. Relief declined to fund the development of a stable formulation.</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Share Subscription Facility Agreement — GEM</w:t>
      </w:r>
    </w:p>
    <w:p>
      <w:pPr>
        <w:spacing w:after="0" w:line="192" w:lineRule="exact"/>
        <w:rPr>
          <w:sz w:val="20"/>
          <w:szCs w:val="20"/>
          <w:color w:val="auto"/>
        </w:rPr>
      </w:pPr>
    </w:p>
    <w:p>
      <w:pPr>
        <w:jc w:val="both"/>
        <w:ind w:left="40" w:right="39"/>
        <w:spacing w:after="0" w:line="254" w:lineRule="auto"/>
        <w:rPr>
          <w:sz w:val="20"/>
          <w:szCs w:val="20"/>
          <w:color w:val="auto"/>
        </w:rPr>
      </w:pPr>
      <w:r>
        <w:rPr>
          <w:rFonts w:ascii="Times New Roman" w:cs="Times New Roman" w:eastAsia="Times New Roman" w:hAnsi="Times New Roman"/>
          <w:sz w:val="15"/>
          <w:szCs w:val="15"/>
          <w:color w:val="auto"/>
        </w:rPr>
        <w:t>NeuroRx previously entered into a share subscription facility agreement (“GEM Agreement”) with GEM Global Yield LLC SCS and GEM Yield Bahamas Limited (collectively, referred to as “GEM”) with a three-year term. Subject to the successful listing of the shares of NeuroRx on an Exchange (any nationally recognized stock exchange or exchange platform in the world on which the Company will list its shares), GEM grants NeuroRx an option to require GEM to subscribe for shares from the Company for up to an aggregate value of approximately $95.6 million. The agreement also included certain provisions which would not meet the U.S. requirements to issue registered shares thus preventing its usage. If NeuroRx was listed or completes a private transaction which results in a change of control of the Company, NeuroRx would issue GEM a warrant and pay a commitment fee of $1.9 million. Absent a listing of NeuroRx shares or a private transaction with a change of control during the three-year term, NeuroRx would have no obligations under the agreement. The reverse merger contemplated by the Merger Agreement would not have resulted in a listing of NeuroRx shares or a change in control.</w:t>
      </w:r>
    </w:p>
    <w:p>
      <w:pPr>
        <w:spacing w:after="0" w:line="160"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and thus its usage is very unlikely. The warrant is not conditional upon any further events or completion of the merger.</w:t>
      </w:r>
    </w:p>
    <w:p>
      <w:pPr>
        <w:spacing w:after="0" w:line="154"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warrant was issued March 28, 2021, for 3,329,812 shares of NeuroRx common stock at an exercise price of $3.19 per share (the “GEM Warrant”) and the parties agreed that GEM would immediately partially exercise the warrant for the purchase of 1,496,216 shares (“Initial Exercised Shares”) for $7,500,018. The GEM Warrant will be valid for a period of</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three years from the date NeuroRx’s stock is listed for trading on a national securities exchange or consummation of a reverse merger transaction of the type contemplated by the Merger Agreement.</w:t>
      </w:r>
    </w:p>
    <w:p>
      <w:pPr>
        <w:spacing w:after="0" w:line="13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color w:val="auto"/>
        </w:rPr>
        <w:t>As of December 31, 2020, the Company recognized a contingent liability for its obligation to issue to GEM certain equity instruments at a discounted per share price. Specifically, as the amount was deemed probable and estimable at December 31, 2020, NeuroRx recorded a liability and settlement expense of $39,486,139 to reflect the fair value of the expected GEM Warrant to be issued. On March 28, 2021, when the GEM Warrant was issued, the Company recorded an additional charge of $21,365,641 to reflect the increased fair value of the GEM Warrant on its grant date. Upon issuance, the GEM Warrant was equity classified and was determined to be within the scope of ASC 718, Share-Based Payments (“ASC 718”).</w:t>
      </w:r>
    </w:p>
    <w:p>
      <w:pPr>
        <w:spacing w:after="0" w:line="15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color w:val="auto"/>
        </w:rPr>
        <w:t>NeuroRx was required to register the Initial Exercised Shares on (a) the same registration statement on Form S-4 (or such other registration statement, if changed) in connection with the Merger, or (b) such other registration statement in connection with any other transaction which results in a public listing of NeuroRx. In addition, no later than 90 days following the consummation of the Big Rock merger, the Company was required to file with the SEC a registration statement to register under the Securities Act the resale by GEM of all shares issuable under the GEM Warrant other than the Initial Exercised Shares, which was filed with the Company's S-1 in July 2021. The GEM Warrant also includes “piggyback” registration rights.</w:t>
      </w:r>
    </w:p>
    <w:p>
      <w:pPr>
        <w:spacing w:after="0" w:line="158"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The GEM Warrants that were not exercised as of the Merger were modified and became Substitute Warrants (1,833,596 shares, adjusted for the Merger as discussed in Note 11). These Substitute Warrants were liability classified (see Note 11). The changes in fair value of these Substitute Warrants were recognized as a gain or loss in the statement of operations until these Substitute Warrants were exercised in July 2021, at which time they were reclassified to additional paid-in capital.</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11. Equity</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Common Stock</w:t>
      </w:r>
    </w:p>
    <w:p>
      <w:pPr>
        <w:spacing w:after="0" w:line="192"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Upon closing of the Merger, pursuant to the terms of the Second Amended and Restated Certificate of Incorporation, the Company authorized 500,000,000 shares of common stock with a par value $0.001. As discussed in Note 5, we have retroactively adjusted the shares issued and outstanding prior to May 24, 2021 to give effect to the Exchange Ratio established in the Merger Agreement to determine the number of shares of common stock into which they were converted.</w:t>
      </w:r>
    </w:p>
    <w:p>
      <w:pPr>
        <w:spacing w:after="0" w:line="154"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Company sold 65,526 and 0 shares of common stock during the three months ended June 30, 2021 and 2020, respectively, and received gross proceeds of $1,436,274 and $0, respectively. The Company sold 398,647 and 50,844 shares of common stock during the six months ended June 30, 2021 and 2020, respectively, and received gross proceeds of $8,363,132 and $176,990, respectively.</w:t>
      </w:r>
    </w:p>
    <w:p>
      <w:pPr>
        <w:spacing w:after="0" w:line="150"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Pursuant to the Merger Agreement, BRPA and EarlyBirdCapital, Inc., the representative of the underwriters of BRPA’s initial public offering (“EBC”), entered into an amendment (“BCMA Amendment Agreement”) to the Business Combination Marketing Agreement, dated as of November 20, 2017 (“BCMA”), by and between BRPA and EBC. The BCMA Amendment Agreement provided that, in lieu of the cash fee payable to EBC pursuant to the BCMA, BRPA will issue to EBC at the Effective Time an aggregate of 200,000 shares of Common Stock and the BCMA (as amended by the BCMA Amendment Agreement) will terminate immediately following the Effective Time. The Company recognized the fair value of the 200,000 shares of Common Stock issued pursuant to the BCMA of $4,850,000 within general and administrative in the Unaudited Condensed Consolidated Statements of Operations for the three and six months ended June 30, 2021.</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Preferred Stock</w:t>
      </w:r>
    </w:p>
    <w:p>
      <w:pPr>
        <w:spacing w:after="0" w:line="192" w:lineRule="exact"/>
        <w:rPr>
          <w:sz w:val="20"/>
          <w:szCs w:val="20"/>
          <w:color w:val="auto"/>
        </w:rPr>
      </w:pPr>
    </w:p>
    <w:p>
      <w:pPr>
        <w:ind w:left="40" w:right="459"/>
        <w:spacing w:after="0" w:line="280" w:lineRule="auto"/>
        <w:rPr>
          <w:sz w:val="20"/>
          <w:szCs w:val="20"/>
          <w:color w:val="auto"/>
        </w:rPr>
      </w:pPr>
      <w:r>
        <w:rPr>
          <w:rFonts w:ascii="Times New Roman" w:cs="Times New Roman" w:eastAsia="Times New Roman" w:hAnsi="Times New Roman"/>
          <w:sz w:val="15"/>
          <w:szCs w:val="15"/>
          <w:color w:val="auto"/>
        </w:rPr>
        <w:t>Upon closing of the Merger, pursuant to the terms of the Second Amended and Restated Certificate of Incorporation, the Company authorized 50,000,000 shares of preferred stock with a par value $0.001.</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auto"/>
        </w:rPr>
        <w:t>Series A, B-1, and B-1A Preferred Stock</w:t>
      </w:r>
    </w:p>
    <w:p>
      <w:pPr>
        <w:spacing w:after="0" w:line="188"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Prior to the Merger, the Company had authorized and issued 1,000,000 shares of Series A convertible preferred stock, 1,050,695 shares of Series B-1 convertible preferred stock, and 316,848 shares of Series B-1A convertible preferred stock, par value of $0.001 per share, which was convertible into one share of common stock for each preferred share (collectively, the “Preferred Stock”) at any time, at the option of the holder. The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$1.00 per share for the Series A convertible preferred stock, $7.58 per share for the Series B-1 convertible preferred stock, and $6.82 per share for the Series B-1A convertible preferred stock, plus any declared but unpaid dividends. Upon an initial public offering or merger under certain conditions the Preferred Stock automatically converted into common stock.</w:t>
      </w:r>
    </w:p>
    <w:p>
      <w:pPr>
        <w:spacing w:after="0" w:line="156" w:lineRule="exact"/>
        <w:rPr>
          <w:sz w:val="20"/>
          <w:szCs w:val="20"/>
          <w:color w:val="auto"/>
        </w:rPr>
      </w:pPr>
    </w:p>
    <w:p>
      <w:pPr>
        <w:ind w:left="40" w:right="219"/>
        <w:spacing w:after="0" w:line="280" w:lineRule="auto"/>
        <w:rPr>
          <w:sz w:val="20"/>
          <w:szCs w:val="20"/>
          <w:color w:val="auto"/>
        </w:rPr>
      </w:pPr>
      <w:r>
        <w:rPr>
          <w:rFonts w:ascii="Times New Roman" w:cs="Times New Roman" w:eastAsia="Times New Roman" w:hAnsi="Times New Roman"/>
          <w:sz w:val="15"/>
          <w:szCs w:val="15"/>
          <w:color w:val="auto"/>
        </w:rPr>
        <w:t>On May 24, 2021, pursuant to the Merger (as described in Note 5), 2,367,543 outstanding shares of Preferred Stock were automatically converted into 7,480,836 shares of common stock pursuant to the Exchange Ratio.</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auto"/>
        </w:rPr>
        <w:t>Series B-2 Preferred Stock</w:t>
      </w:r>
    </w:p>
    <w:p>
      <w:pPr>
        <w:spacing w:after="0" w:line="188"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In 2020, the Company authorized the issuance of 100,000 shares of Series B-2 Convertible Preferred Stock (the “B-2 Preferred Stock”), par value of $0.001 per share, convertible into one share of common stock for each share of B-2 Preferred Stock held. In March 2020, 4,167 shares of B-2 Preferred Stock were issued. The B-2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$12.00 per share plus any declared but unpaid dividends. The B-2 Preferred Stock could be converted into one share of common stock (subject to adjustments for stock splits, recapitalization) at any time, at the option of the holder. Upon an initial public offering or merger under certain conditions the B-2 Preferred Stock automatically converted into common stock.</w:t>
      </w:r>
    </w:p>
    <w:p>
      <w:pPr>
        <w:spacing w:after="0" w:line="159"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On May 24, 2021, pursuant to the Merger (as described in Note 5), 4,167 outstanding shares of B-2 Preferred stock were automatically converted into 13,168 shares of common stock pursuant to the Exchange Ratio.</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Common Stock Warrants</w:t>
      </w:r>
    </w:p>
    <w:p>
      <w:pPr>
        <w:spacing w:after="0" w:line="19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5"/>
          <w:szCs w:val="15"/>
          <w:color w:val="auto"/>
        </w:rPr>
        <w:t>As discussed in Note 10, on March 28, 2021, NeuroRx issued 3,329,812 fully vested common stock warrants, exercisable at a per share price of $3.19 until they expire on March 27, 2024 to GEM. The fair value on the date of issuance was $60,851,779. Upon issuance, 1,496,216 warrants were immediately exercised generating gross proceeds of $7,500,018. As further discussed below, upon the Merger the remaining unexercised GEM Warrants were modified to become Substitute Warrants in July 2021, GEM exercised their Substitute Warrants for the purchase of 1,833,596 shares for gross proceeds of $9,186,316 and the GEM Warrant was extinguished.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grant date fair value of GEM Warrants was determined using the Black Scholes option-pricing model. The Company estimated its expected stock volatility based on historical volatility of publicly traded peer companies. The estimated fair value of common stock is based on sales to third parties. The following assumptions were used for the GEM Warrants upon issuance:</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7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2"/>
                <w:szCs w:val="12"/>
                <w:b w:val="1"/>
                <w:bCs w:val="1"/>
                <w:color w:val="auto"/>
                <w:w w:val="98"/>
              </w:rPr>
              <w:t>March 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75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72"/>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Strike price</w:t>
            </w:r>
          </w:p>
        </w:tc>
        <w:tc>
          <w:tcPr>
            <w:tcW w:w="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3.19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0"/>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Volatility rate</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0.19%-0.28</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50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3.00-5.00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auto"/>
        </w:rPr>
        <w:t>Substitute Warrants</w:t>
      </w:r>
    </w:p>
    <w:p>
      <w:pPr>
        <w:spacing w:after="0" w:line="188" w:lineRule="exact"/>
        <w:rPr>
          <w:sz w:val="20"/>
          <w:szCs w:val="20"/>
          <w:color w:val="auto"/>
        </w:rPr>
      </w:pPr>
    </w:p>
    <w:p>
      <w:pPr>
        <w:jc w:val="both"/>
        <w:ind w:left="40" w:right="39"/>
        <w:spacing w:after="0" w:line="253" w:lineRule="auto"/>
        <w:rPr>
          <w:sz w:val="20"/>
          <w:szCs w:val="20"/>
          <w:color w:val="auto"/>
        </w:rPr>
      </w:pPr>
      <w:r>
        <w:rPr>
          <w:rFonts w:ascii="Times New Roman" w:cs="Times New Roman" w:eastAsia="Times New Roman" w:hAnsi="Times New Roman"/>
          <w:sz w:val="15"/>
          <w:szCs w:val="15"/>
          <w:color w:val="auto"/>
        </w:rPr>
        <w:t>As discussed in Note 5, in connection with the Merger, each warrant of NeuroRx that was outstanding and unexercised immediately prior to the Effective Time (whether vested or unvested) was assumed by BRPA and converted into the Substitute Warrants, based on the Option Exchange Ratio (of 4.96), and will continue to be governed by substantially the same terms and conditions, including vesting, as were applicable to the former warrant. Each Substitute Warrant will be exercisable for a number of whole shares of Common Stock equal to the product of the number of shares of NeuroRx common stock underlying such NeuroRx warrant multiplied by the Option Exchange Ratio, and the per share exercise price of such Substitute Warrant will be equal to the quotient determined by dividing the exercise price per share of NeuroRx common stock by the Option Exchange Ratio. As discussed in Note 5,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Warrant that is vested immediately following the Effective Time will equal the percentage of total shares of NeuroRx common stock subject to each NeuroRx warrant that is vested immediately prior to the Effective Time.</w:t>
      </w:r>
    </w:p>
    <w:p>
      <w:pPr>
        <w:spacing w:after="0" w:line="163"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In the event that either the Earnout Shares Milestone or the Earnout Cash Milestone does not occur prior to December 31, 2022, each Substitute Warrant will be adjusted such that the number of shares of Common Stock subject to each adjusted Substitute Warrant, the exercise price per share of each adjusted Substitute Warrant and the aggregate intrinsic value of each adjusted Substitute Warrant will equal the respective number of shares, exercise price per share and aggregate intrinsic value that would have resulted following the adjustment of the applicable underlying Substitute Warrant had the conversion of NeuroRx warrants into the Substitute Warrants been applied using the Exchange Ratio (3.16:1) as adjusted accordingly to reflect the impact of the respective milestone not being met. If neither the Earnout Shares Milestone nor the Earnout Cash Milestone occurs, each Substitute Warrant will be adjusted based on the Exchange Ratio.</w:t>
      </w:r>
    </w:p>
    <w:p>
      <w:pPr>
        <w:spacing w:after="0" w:line="15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If any Substitute Warrants are exercised prior to the earlier of (i) the date that both the Earnout Shares Milestone and Earnout Cash Milestone occur and (ii) December 31, 2022, a sufficient number of shares of Common Stock will be held back pending the applicable adjustment to such Substitute Warrants. Following the determination of that adjustment, NRx Pharmaceuticals will retain any shares forfeited by the warrant holder in connection with the adjustment and return any remaining shares to the warrant holder.</w:t>
      </w:r>
    </w:p>
    <w:p>
      <w:pPr>
        <w:spacing w:after="0" w:line="154"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Upon the closing of the Merger, all outstanding and unexercised NeuroRx warrants became warrants to purchase an aggregate 4,909,066 shares of the Company’s common stock with an average exercise price of $2.45 per share.</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With respect to warrants held by certain members of our Board of Directors, the Substitute Warrants were determined to be within the scope of ASC</w:t>
      </w:r>
    </w:p>
    <w:p>
      <w:pPr>
        <w:spacing w:after="0" w:line="21" w:lineRule="exact"/>
        <w:rPr>
          <w:sz w:val="20"/>
          <w:szCs w:val="20"/>
          <w:color w:val="auto"/>
        </w:rPr>
      </w:pPr>
    </w:p>
    <w:p>
      <w:pPr>
        <w:jc w:val="both"/>
        <w:ind w:left="40" w:right="59" w:hanging="4"/>
        <w:spacing w:after="0" w:line="254" w:lineRule="auto"/>
        <w:tabs>
          <w:tab w:leader="none" w:pos="34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portion of the warrants subject to the base Exchange Ratio (3.16:1), the warrants were fully vested and therefore the incremental fair value of these Substitute Warrants at the date of the modification date was immediately recognized as compensation expense. For the incremental portion of the warrants with a performance-based vesting conditions (i.e., the achievement of the Earnout Cash and/or Earnout Share Milestones), the Company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determined it was not probable that the Earnout Cash or Earnout Share Milestone would be met on the Effective Date and at June 30, 2021 and therefore no expense has been recognized for this portion.. The Company will reevaluate the probability of the Earnout Cash and/or Earnout Share Milestones being met and recognize any unamortized incremental compensation cost accordingly in the period during which it becomes probable the milestones will be met. The Company recognized incremental compensation on the modification date totaling $2,330,572 which was recognized in General and administrative in the Unaudited Condensed Consolidated Statements of Operations for the three and six months ended June 30, 2021, respectively. Unamortized compensation costs related to performance-based vesting conditions of these Substitute Warrants as of the modification date was $23,760,993.</w:t>
      </w:r>
    </w:p>
    <w:p>
      <w:pPr>
        <w:spacing w:after="0" w:line="159" w:lineRule="exact"/>
        <w:rPr>
          <w:sz w:val="20"/>
          <w:szCs w:val="20"/>
          <w:color w:val="auto"/>
        </w:rPr>
      </w:pPr>
    </w:p>
    <w:p>
      <w:pPr>
        <w:jc w:val="both"/>
        <w:ind w:left="40" w:right="39"/>
        <w:spacing w:after="0" w:line="254" w:lineRule="auto"/>
        <w:rPr>
          <w:sz w:val="20"/>
          <w:szCs w:val="20"/>
          <w:color w:val="auto"/>
        </w:rPr>
      </w:pPr>
      <w:r>
        <w:rPr>
          <w:rFonts w:ascii="Times New Roman" w:cs="Times New Roman" w:eastAsia="Times New Roman" w:hAnsi="Times New Roman"/>
          <w:sz w:val="15"/>
          <w:szCs w:val="15"/>
          <w:color w:val="auto"/>
        </w:rPr>
        <w:t>For any remaining outstanding warrants, as the warrant holders were no longer providing services at the date of the modification, in accordance with ASC 815, the Company concluded that the provisions in the Merger Agreement related to the Earnout Shares Milestone and the Earnout Cash Milestone and the contingent right to receive additional shares for these provisions precluded these Substitute Warrants from being accounted for as components of equity. As these Substitute Warrants meet the definition of a derivative as contemplated in ASC 815, the Substitute Warrants should be recorded as derivative liabilities on the balance sheet and measured at fair value at inception (on the date of the Merger) and at each reporting date in accordance with ASC 820, Fair Value Measurement, with changes in fair value recognized in the Statements of Operations in the period of change. On May 24, 2021, the Company recorded a warrant liability of $53,337,336 for the Substitute Warrants, reclassified out of additional paid-in capital $38,220,448 representing the fair value of these NeuroRx warrants immediately before the modifications as a result of the Merger, and recognized a loss of $15,116,888 for the incremental fair value of these Substitute Warrants which is recorded in the Change in fair value of warrant liabilities on the Condensed Consolidated Statement of Operations.</w:t>
      </w:r>
    </w:p>
    <w:p>
      <w:pPr>
        <w:spacing w:after="0" w:line="158"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The Company recognized a gain on the change in fair value of the Substitute Warrants for the three and six months ended June 30, 2021 and 2020 of $15,890,360 and $0, respectively. Refer to Note 13 for further discussion of fair value measurement of the warrant liabilities.</w:t>
      </w:r>
    </w:p>
    <w:p>
      <w:pPr>
        <w:spacing w:after="0" w:line="138"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As discussed above the GEM Substitute Warrants were exercised in July 2021, and changes in the fair value of the warrant liability through the date of exercise were recognized in the statement of operations and upon exercise any remaining instruments were reclassified to additional paid-in capital.</w:t>
      </w:r>
    </w:p>
    <w:p>
      <w:pPr>
        <w:spacing w:after="0" w:line="150" w:lineRule="exact"/>
        <w:rPr>
          <w:sz w:val="20"/>
          <w:szCs w:val="20"/>
          <w:color w:val="auto"/>
        </w:rPr>
      </w:pPr>
    </w:p>
    <w:p>
      <w:pPr>
        <w:jc w:val="both"/>
        <w:ind w:left="40" w:right="39"/>
        <w:spacing w:after="0" w:line="280" w:lineRule="auto"/>
        <w:rPr>
          <w:sz w:val="20"/>
          <w:szCs w:val="20"/>
          <w:color w:val="auto"/>
        </w:rPr>
      </w:pPr>
      <w:r>
        <w:rPr>
          <w:rFonts w:ascii="Times New Roman" w:cs="Times New Roman" w:eastAsia="Times New Roman" w:hAnsi="Times New Roman"/>
          <w:sz w:val="15"/>
          <w:szCs w:val="15"/>
          <w:color w:val="auto"/>
        </w:rPr>
        <w:t>The fair value of the original NeuroRx warrants and Substitute Warrants as of the Merger Date was determined using the Black-Scholes option-pricing model with the following assumptions for each:</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350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Original Warrants</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Substitute Warrants</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17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Strike price</w:t>
            </w:r>
          </w:p>
        </w:tc>
        <w:tc>
          <w:tcPr>
            <w:tcW w:w="26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   7.58-$15.84</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rPr>
              <w:t>1.53-$3.19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Volatility rate</w:t>
            </w:r>
          </w:p>
        </w:tc>
        <w:tc>
          <w:tcPr>
            <w:tcW w:w="3720" w:type="dxa"/>
            <w:vAlign w:val="bottom"/>
            <w:gridSpan w:val="2"/>
          </w:tcPr>
          <w:p>
            <w:pPr>
              <w:jc w:val="center"/>
              <w:ind w:left="2685"/>
              <w:spacing w:after="0"/>
              <w:rPr>
                <w:sz w:val="20"/>
                <w:szCs w:val="20"/>
                <w:color w:val="auto"/>
              </w:rPr>
            </w:pPr>
            <w:r>
              <w:rPr>
                <w:rFonts w:ascii="Times New Roman" w:cs="Times New Roman" w:eastAsia="Times New Roman" w:hAnsi="Times New Roman"/>
                <w:sz w:val="15"/>
                <w:szCs w:val="15"/>
                <w:color w:val="auto"/>
              </w:rPr>
              <w:t>80.0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8"/>
              </w:rPr>
              <w:t>80.0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3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0.03%-0.32  %</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9"/>
              </w:rPr>
              <w:t>0.03%-0.32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3720" w:type="dxa"/>
            <w:vAlign w:val="bottom"/>
            <w:gridSpan w:val="2"/>
          </w:tcPr>
          <w:p>
            <w:pPr>
              <w:jc w:val="center"/>
              <w:ind w:left="2685"/>
              <w:spacing w:after="0"/>
              <w:rPr>
                <w:sz w:val="20"/>
                <w:szCs w:val="20"/>
                <w:color w:val="auto"/>
              </w:rPr>
            </w:pPr>
            <w:r>
              <w:rPr>
                <w:rFonts w:ascii="Times New Roman" w:cs="Times New Roman" w:eastAsia="Times New Roman" w:hAnsi="Times New Roman"/>
                <w:sz w:val="15"/>
                <w:szCs w:val="15"/>
                <w:color w:val="auto"/>
                <w:w w:val="97"/>
              </w:rPr>
              <w:t>0.57-3.69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rPr>
              <w:t>0.57-3.69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6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bl>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auto"/>
        </w:rPr>
        <w:t>Assumed Public Warrants</w:t>
      </w:r>
    </w:p>
    <w:p>
      <w:pPr>
        <w:spacing w:after="0" w:line="188"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Prior to the Merger, the Company had outstanding 3,450,000 Public Warrants. Each Public Warrant entitles the holder to purchase one share of Common Stock at an exercise price of $11.50 per share. The Public Warrants became exercisable at the effective time (May 24, 2021) and expire five years after the Effective Time or earlier upon redemption or liquidation.</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Company may redeem the Public Warrants:</w:t>
      </w:r>
    </w:p>
    <w:p>
      <w:pPr>
        <w:spacing w:after="0" w:line="188" w:lineRule="exact"/>
        <w:rPr>
          <w:sz w:val="20"/>
          <w:szCs w:val="20"/>
          <w:color w:val="auto"/>
        </w:rPr>
      </w:pPr>
    </w:p>
    <w:p>
      <w:pPr>
        <w:ind w:left="600" w:hanging="271"/>
        <w:spacing w:after="0"/>
        <w:tabs>
          <w:tab w:leader="none" w:pos="6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whole and not in part;</w:t>
      </w:r>
    </w:p>
    <w:p>
      <w:pPr>
        <w:spacing w:after="0" w:line="120" w:lineRule="exact"/>
        <w:rPr>
          <w:rFonts w:ascii="Times New Roman" w:cs="Times New Roman" w:eastAsia="Times New Roman" w:hAnsi="Times New Roman"/>
          <w:sz w:val="15"/>
          <w:szCs w:val="15"/>
          <w:color w:val="auto"/>
        </w:rPr>
      </w:pPr>
    </w:p>
    <w:p>
      <w:pPr>
        <w:ind w:left="600" w:hanging="271"/>
        <w:spacing w:after="0"/>
        <w:tabs>
          <w:tab w:leader="none" w:pos="6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price of $0.01 per warrant;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ind w:left="600" w:hanging="271"/>
        <w:spacing w:after="0"/>
        <w:tabs>
          <w:tab w:leader="none" w:pos="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during the exercise period;</w:t>
      </w:r>
    </w:p>
    <w:p>
      <w:pPr>
        <w:spacing w:after="0" w:line="120" w:lineRule="exact"/>
        <w:rPr>
          <w:rFonts w:ascii="Times New Roman" w:cs="Times New Roman" w:eastAsia="Times New Roman" w:hAnsi="Times New Roman"/>
          <w:sz w:val="15"/>
          <w:szCs w:val="15"/>
          <w:color w:val="auto"/>
        </w:rPr>
      </w:pPr>
    </w:p>
    <w:p>
      <w:pPr>
        <w:ind w:left="600" w:hanging="271"/>
        <w:spacing w:after="0"/>
        <w:tabs>
          <w:tab w:leader="none" w:pos="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 minimum of 30 days’ prior written notice of redemption;</w:t>
      </w:r>
    </w:p>
    <w:p>
      <w:pPr>
        <w:spacing w:after="0" w:line="131" w:lineRule="exact"/>
        <w:rPr>
          <w:rFonts w:ascii="Times New Roman" w:cs="Times New Roman" w:eastAsia="Times New Roman" w:hAnsi="Times New Roman"/>
          <w:sz w:val="15"/>
          <w:szCs w:val="15"/>
          <w:color w:val="auto"/>
        </w:rPr>
      </w:pPr>
    </w:p>
    <w:p>
      <w:pPr>
        <w:jc w:val="both"/>
        <w:ind w:left="600" w:right="39" w:hanging="271"/>
        <w:spacing w:after="0" w:line="265" w:lineRule="auto"/>
        <w:tabs>
          <w:tab w:leader="none" w:pos="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 and</w:t>
      </w:r>
    </w:p>
    <w:p>
      <w:pPr>
        <w:spacing w:after="0" w:line="93" w:lineRule="exact"/>
        <w:rPr>
          <w:rFonts w:ascii="Times New Roman" w:cs="Times New Roman" w:eastAsia="Times New Roman" w:hAnsi="Times New Roman"/>
          <w:sz w:val="15"/>
          <w:szCs w:val="15"/>
          <w:color w:val="auto"/>
        </w:rPr>
      </w:pPr>
    </w:p>
    <w:p>
      <w:pPr>
        <w:ind w:left="600" w:hanging="271"/>
        <w:spacing w:after="0"/>
        <w:tabs>
          <w:tab w:leader="none" w:pos="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there is a current registration statement in effect with respect to the shares of common stock underlying such warrants.</w:t>
      </w:r>
    </w:p>
    <w:p>
      <w:pPr>
        <w:spacing w:after="0" w:line="120"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Certain of the above conditions have not been met to redeem the Public Warrants. If the Company calls the Public Warrants for redemption, management will have the option to require all holders that wish to exercise the Public Warrants to do so on a “cashless basis,” as described in the warrant agreement.</w:t>
      </w:r>
    </w:p>
    <w:p>
      <w:pPr>
        <w:spacing w:after="0" w:line="150"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auto"/>
        </w:rPr>
        <w:t>Assumed Placement Warrants</w:t>
      </w:r>
    </w:p>
    <w:p>
      <w:pPr>
        <w:spacing w:after="0" w:line="18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5"/>
          <w:szCs w:val="15"/>
          <w:color w:val="auto"/>
        </w:rPr>
        <w:t>Prior to the Merger, the Company had outstanding 136,250 Placement Warrants. The Placement Warrants are identical to the Public Warrants except that the Placement Warrants (i) are not redeemable by the Company and (ii) may be exercised for cash or on a cashless basis, so long as they are held by the initial purchaser or any of its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55"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Unaudited Condensed Consolidated Balance Sheet as of June 30, 2021. The Company measures the fair value of the warrants at the end of each reporting period and recognizes changes in the fair value from the prior period in the Company’s operating results for the current period.</w:t>
      </w:r>
    </w:p>
    <w:p>
      <w:pPr>
        <w:spacing w:after="0" w:line="155"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The Company recognized a gain on the change in fair value of the Placement Warrants for the three and six months ended June 30, 2021 and 2020 of $1,468,649 and $0, respectively. Refer to Note 13 for discussion of fair value measurement of the warrant liabilities.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provides the activity for all warrants for the respective periods.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restart"/>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Total Warrants</w:t>
            </w: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Remaining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Term</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Exercise Price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Intrinsic Value</w:t>
            </w:r>
          </w:p>
        </w:tc>
        <w:tc>
          <w:tcPr>
            <w:tcW w:w="0" w:type="dxa"/>
            <w:vAlign w:val="bottom"/>
          </w:tcPr>
          <w:p>
            <w:pPr>
              <w:spacing w:after="0"/>
              <w:rPr>
                <w:sz w:val="1"/>
                <w:szCs w:val="1"/>
                <w:color w:val="auto"/>
              </w:rPr>
            </w:pPr>
          </w:p>
        </w:tc>
      </w:tr>
      <w:tr>
        <w:trPr>
          <w:trHeight w:val="172"/>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2020 (as previously reported)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620,055</w:t>
            </w: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22,127,594</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Retroactive application of reverse recapitalization (Note 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2,455,415</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2020, effect of Merger (Note 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3,075,470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150,955,963</w:t>
            </w:r>
          </w:p>
        </w:tc>
        <w:tc>
          <w:tcPr>
            <w:tcW w:w="0" w:type="dxa"/>
            <w:vAlign w:val="bottom"/>
          </w:tcPr>
          <w:p>
            <w:pPr>
              <w:spacing w:after="0"/>
              <w:rPr>
                <w:sz w:val="1"/>
                <w:szCs w:val="1"/>
                <w:color w:val="auto"/>
              </w:rPr>
            </w:pPr>
          </w:p>
        </w:tc>
      </w:tr>
      <w:tr>
        <w:trPr>
          <w:trHeight w:val="180"/>
        </w:trPr>
        <w:tc>
          <w:tcPr>
            <w:tcW w:w="47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Issued</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3,329,812</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111,082,528</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Exercised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(1,496,216)</w:t>
            </w:r>
          </w:p>
        </w:tc>
        <w:tc>
          <w:tcPr>
            <w:tcW w:w="1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(49,913,766)</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Outstanding as of March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4,909,066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244,574,345</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Issued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3,586,250</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45,724,688</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Outstanding as of June 30, 2021</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8,495,316</w:t>
            </w:r>
          </w:p>
        </w:tc>
        <w:tc>
          <w:tcPr>
            <w:tcW w:w="14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24.78</w:t>
            </w:r>
          </w:p>
        </w:tc>
        <w:tc>
          <w:tcPr>
            <w:tcW w:w="1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42,385,824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Assumed Unit Purchase Options</w:t>
      </w:r>
    </w:p>
    <w:p>
      <w:pPr>
        <w:spacing w:after="0" w:line="192" w:lineRule="exact"/>
        <w:rPr>
          <w:sz w:val="20"/>
          <w:szCs w:val="20"/>
          <w:color w:val="auto"/>
        </w:rPr>
      </w:pPr>
    </w:p>
    <w:p>
      <w:pPr>
        <w:jc w:val="both"/>
        <w:ind w:left="40" w:right="39"/>
        <w:spacing w:after="0" w:line="254" w:lineRule="auto"/>
        <w:rPr>
          <w:sz w:val="20"/>
          <w:szCs w:val="20"/>
          <w:color w:val="auto"/>
        </w:rPr>
      </w:pPr>
      <w:r>
        <w:rPr>
          <w:rFonts w:ascii="Times New Roman" w:cs="Times New Roman" w:eastAsia="Times New Roman" w:hAnsi="Times New Roman"/>
          <w:sz w:val="15"/>
          <w:szCs w:val="15"/>
          <w:color w:val="auto"/>
        </w:rPr>
        <w:t>Prior to the Merger, the Company had outstanding options to purchase up to 600,000 Units exercisable at $10.00 per Unit (or an aggregate exercise price of $6,000,000) commencing on the Effective Time. Each Unit consists of one share of Common Stock, one Public Right and one-half of one Public Warrant. Each Public Right will convert into one-tenth (1/10) of one share of Common Stock upon exercise of the Units. The unit purchase option may be exercised for cash or on a cashless basis, at the holder’s option, and expires five years from November 20, 2017. The option grants to holders demand and “piggy back” rights for periods of five and seven years, respectively, from the effective date of the Company's registration statement with respect to the registration under the Securities Act of the securities directly and indirectly issuable upon exercise of the option.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Conversion of Rights</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Prior to the Merger, the Company had outstanding 6,900,000 and 272,500 Public Rights and Placement Rights, respectively. At the Effective Time, each holder of a right received one-tenth (1/10) of one share of Common Stock at the Effective Time, even if the holder of such right redeemed all shares held by it in connection with the Merger, resulting in the issuance of 717,250 shares of Common Stock to holders of such rights. No fractional shares were issued upon conversion of the rights. No additional consideration was required to be paid by a holder of rights in order to receive its additional shares at the Effective Time, as the consideration related thereto has been included in the original unit purchase price paid for by investors in the Company's Initial Public Offering. The shares issuable upon conversion of the rights will be freely tradable (except to the extent held by affiliates of the Company).</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12. Stock-Based Compensation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2016 Omnibus Incentive Plan</w:t>
      </w:r>
    </w:p>
    <w:p>
      <w:pPr>
        <w:spacing w:after="0" w:line="19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was subject to awards and issuable under the 2016 Plan was 3,472,000.</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39"/>
        <w:spacing w:after="0" w:line="254" w:lineRule="auto"/>
        <w:rPr>
          <w:sz w:val="20"/>
          <w:szCs w:val="20"/>
          <w:color w:val="auto"/>
        </w:rPr>
      </w:pPr>
      <w:r>
        <w:rPr>
          <w:rFonts w:ascii="Times New Roman" w:cs="Times New Roman" w:eastAsia="Times New Roman" w:hAnsi="Times New Roman"/>
          <w:sz w:val="15"/>
          <w:szCs w:val="15"/>
          <w:color w:val="auto"/>
        </w:rPr>
        <w:t>In connection with the Merger, each option of NeuroRx that was outstanding and unexercised immediately prior to the Effective Time (whether vested or unvested) was assumed by BRPA and converted into the Substitute Options, based on the Option Exchange Ratio (of 4.96), and will continue to be governed by substantially the same terms and conditions, including vesting, as were applicable to the former option. Each Substitute Option will be exercisable for a number of whole shares of Common Stock equal to the product of the number of shares of NeuroRx common stock underlying such NeuroRx option multiplied by the Option Exchange Ratio, and the per share exercise price of such Substitute Option will be equal to the quotient determined by dividing the exercise price per share of NeuroRx common stock by the Option Exchange Ratio. As discussed in Note 5,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Option that is vested immediately following the Effective Time will equal the percentage of total shares of NeuroRx common stock subject to each NeuroRx option that is vested immediately prior to the Effective Time.</w:t>
      </w:r>
    </w:p>
    <w:p>
      <w:pPr>
        <w:spacing w:after="0" w:line="15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5"/>
          <w:szCs w:val="15"/>
          <w:color w:val="auto"/>
        </w:rPr>
        <w:t>In the event that either the Earnout Shares Milestone or the Earnout Cash Milestone does not occur prior to December 31, 2022, each Substitute Option will be adjusted such that the number of shares of Common Stock subject to each adjusted Substitute Option, the exercise price per share of each adjusted Substitute Option and the aggregate intrinsic value of each adjusted Substitute Option will equal the respective number of shares, exercise price per share and aggregate intrinsic value that would have resulted following the adjustment of the applicable underlying Substitute Option had the conversion of NeuroRx options into the Substitute Options been applied using the Exchange Ratio as adjusted accordingly to reflect the impact of the respective milestone not being met. If neither the Earnout Shares Milestone nor the Earnout Cash Milestone occurs, each Substitute Option will be adjusted based on the Exchange Ratio.</w:t>
      </w:r>
    </w:p>
    <w:p>
      <w:pPr>
        <w:spacing w:after="0" w:line="15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As stated in the Merger Agreement, if any Substitute Options are exercised prior to the earlier of (i) the date that both the Earnout Shares Milestone and Earnout Cash Milestone occur and (ii) December 31, 2022, a sufficient number of shares of Common Stock will be held back pending the applicable adjustment to such Substitute Options. Following the determination of that adjustment, NRx Pharmaceuticals will retain any shares forfeited by the option holder in connection with the adjustment and return any remaining shares to the option holder.</w:t>
      </w:r>
    </w:p>
    <w:p>
      <w:pPr>
        <w:spacing w:after="0" w:line="15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color w:val="auto"/>
        </w:rPr>
        <w:t>Upon the closing of the Merger, the outstanding and unexercised NeuroRx stock options became options to purchase an aggregate 2,895,423 shares of the Company’s Common Stock at an average exercise price of $1.50 per share. The 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fair value of the original NeuroRx options and Substitute Options was determined using the Black-Scholes option-pricing model with the following assumptions for each:</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364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Original Options</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Substitute Options</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7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Strike price</w:t>
            </w:r>
          </w:p>
        </w:tc>
        <w:tc>
          <w:tcPr>
            <w:tcW w:w="27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1.00-$72.30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   0.20-$14.58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Volatility rate</w:t>
            </w:r>
          </w:p>
        </w:tc>
        <w:tc>
          <w:tcPr>
            <w:tcW w:w="3760" w:type="dxa"/>
            <w:vAlign w:val="bottom"/>
            <w:gridSpan w:val="2"/>
          </w:tcPr>
          <w:p>
            <w:pPr>
              <w:jc w:val="center"/>
              <w:ind w:left="2865"/>
              <w:spacing w:after="0"/>
              <w:rPr>
                <w:sz w:val="20"/>
                <w:szCs w:val="20"/>
                <w:color w:val="auto"/>
              </w:rPr>
            </w:pPr>
            <w:r>
              <w:rPr>
                <w:rFonts w:ascii="Times New Roman" w:cs="Times New Roman" w:eastAsia="Times New Roman" w:hAnsi="Times New Roman"/>
                <w:sz w:val="15"/>
                <w:szCs w:val="15"/>
                <w:color w:val="auto"/>
                <w:w w:val="98"/>
              </w:rPr>
              <w:t>80.0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auto"/>
                <w:w w:val="98"/>
              </w:rPr>
              <w:t>80.0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3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0.07%-0.79  %</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0.07%-0.79  %</w:t>
            </w: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3760" w:type="dxa"/>
            <w:vAlign w:val="bottom"/>
            <w:gridSpan w:val="2"/>
          </w:tcPr>
          <w:p>
            <w:pPr>
              <w:jc w:val="center"/>
              <w:ind w:left="2865"/>
              <w:spacing w:after="0"/>
              <w:rPr>
                <w:sz w:val="20"/>
                <w:szCs w:val="20"/>
                <w:color w:val="auto"/>
              </w:rPr>
            </w:pPr>
            <w:r>
              <w:rPr>
                <w:rFonts w:ascii="Times New Roman" w:cs="Times New Roman" w:eastAsia="Times New Roman" w:hAnsi="Times New Roman"/>
                <w:sz w:val="15"/>
                <w:szCs w:val="15"/>
                <w:color w:val="auto"/>
              </w:rPr>
              <w:t>0.18-5.99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auto"/>
              </w:rPr>
              <w:t>0.18-5.99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7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127"/>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pacing w:after="0" w:line="166" w:lineRule="exact"/>
        <w:rPr>
          <w:sz w:val="20"/>
          <w:szCs w:val="20"/>
          <w:color w:val="auto"/>
        </w:rPr>
      </w:pPr>
    </w:p>
    <w:p>
      <w:pPr>
        <w:jc w:val="both"/>
        <w:ind w:left="40" w:right="39"/>
        <w:spacing w:after="0" w:line="256" w:lineRule="auto"/>
        <w:rPr>
          <w:sz w:val="20"/>
          <w:szCs w:val="20"/>
          <w:color w:val="auto"/>
        </w:rPr>
      </w:pPr>
      <w:r>
        <w:rPr>
          <w:rFonts w:ascii="Times New Roman" w:cs="Times New Roman" w:eastAsia="Times New Roman" w:hAnsi="Times New Roman"/>
          <w:sz w:val="15"/>
          <w:szCs w:val="15"/>
          <w:color w:val="auto"/>
        </w:rPr>
        <w:t>The Substitute Options contain both service-based and performance-based vesting conditions (i.e., the achievement of the Earnout Cash and/or Earnout Share Milestones). The Company determined it was not probable that the Earnout Cash or Earnout Share Milestone would be met on the Effective Date and at June 30, 2021. Accordingly, the Company will only recognize incremental compensation cost related to the portion of the Substitute Options subject to service-based vesting conditions only. The Company will reevaluate the probability of the Earnout Cash and/or Earnout Share Milestones being met and recognize any unamortized incremental compensation cost accordingly in the period during which it becomes probable the milestones will be met.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For vested Substitute Options, the Company recognized incremental compensation on the modification date totaling $1,014,640, of which $993,500 and $21,140 was recognized in General and administrative and Research and development, respectively, in the Unaudited Condensed Consolidated Statements of Operations for the three and six months ended June 30, 2021, respectively. For unvested Substitute Options, the Company will recognize incremental compensation over the remaining requisite service period, the sum of the incremental compensation cost and the remaining unrecognized compensation cost for the original award on the modification date, taking into consideration the probability of the achievement of the Earnout Cash and/or Earnout Share Milestones. Incremental compensation costs related to unvested Substitute Options as of the modification date was $25,877,473.</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2021 Omnibus Incentive Plan</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At the Effective Time, the Company adopted the 2021 Omnibus Incentive Plan (the “2021 Plan”). As of June 30, 2021, 5,373,049 shares of Common Stock are authorized for issuance pursuant to awards under the 2021 Plan, inclusive of any shares of Common Stock subject to stock options, restricted stock awards or other awards that were assumed in the Merger and terminate as a result of being unexercised or are forfeited or repurchased by the Company, with the maximum number of shares to be added to the 2021 Plan equal to 5,373,049 shares of Common Stock. As of June 30, 2021, 2,919,493 shares have been awarded and 2,453,556 shares remain available for issuance under the 2021 Plan. The 2021 Plan permits the granting of incentive stock options, restricted stock awards, other stock-based award or other cash-based awards to employees, directors, and non-employee consultants.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Option Awards</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The fair value of each employee and non-employee stock option grant is estimated on the date of grant using the Black-Scholes option-pricing model. The Company is a public company and lacks company-specific historical and implied volatility information. Therefore, it estimates its expected stock volatility based on the historical volatility of a publicly traded set of peer companies. Due to the lack of historical exercise history,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US Food and Drug Administration for NRX-101, or b) immediately preceding a change in control of the Company, whichever occurs first.</w:t>
      </w:r>
    </w:p>
    <w:p>
      <w:pPr>
        <w:spacing w:after="0" w:line="156"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The grant date fair value of employee and non-employee stock option awards is determined using the Black Scholes option-pricing model. The following assumptions were used during the following periods: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31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June 30, 2021</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17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29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5"/>
                <w:szCs w:val="15"/>
                <w:color w:val="auto"/>
              </w:rPr>
              <w:t>$   11.69-$23.41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8"/>
              </w:rPr>
              <w:t>2.22-$3.07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0"/>
        </w:trPr>
        <w:tc>
          <w:tcPr>
            <w:tcW w:w="3100" w:type="dxa"/>
            <w:vAlign w:val="bottom"/>
          </w:tcPr>
          <w:p>
            <w:pPr>
              <w:spacing w:after="0"/>
              <w:rPr>
                <w:sz w:val="20"/>
                <w:szCs w:val="20"/>
                <w:color w:val="auto"/>
              </w:rPr>
            </w:pPr>
            <w:r>
              <w:rPr>
                <w:rFonts w:ascii="Times New Roman" w:cs="Times New Roman" w:eastAsia="Times New Roman" w:hAnsi="Times New Roman"/>
                <w:sz w:val="15"/>
                <w:szCs w:val="15"/>
                <w:color w:val="auto"/>
              </w:rPr>
              <w:t>Risk-free rate of interest</w:t>
            </w:r>
          </w:p>
        </w:tc>
        <w:tc>
          <w:tcPr>
            <w:tcW w:w="4180" w:type="dxa"/>
            <w:vAlign w:val="bottom"/>
            <w:gridSpan w:val="2"/>
          </w:tcPr>
          <w:p>
            <w:pPr>
              <w:jc w:val="center"/>
              <w:ind w:left="3005"/>
              <w:spacing w:after="0"/>
              <w:rPr>
                <w:sz w:val="20"/>
                <w:szCs w:val="20"/>
                <w:color w:val="auto"/>
              </w:rPr>
            </w:pPr>
            <w:r>
              <w:rPr>
                <w:rFonts w:ascii="Times New Roman" w:cs="Times New Roman" w:eastAsia="Times New Roman" w:hAnsi="Times New Roman"/>
                <w:sz w:val="15"/>
                <w:szCs w:val="15"/>
                <w:color w:val="auto"/>
                <w:w w:val="99"/>
              </w:rPr>
              <w:t>0.79%-1.24</w:t>
            </w: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95"/>
              </w:rPr>
              <w:t>%</w:t>
            </w:r>
          </w:p>
        </w:tc>
        <w:tc>
          <w:tcPr>
            <w:tcW w:w="120" w:type="dxa"/>
            <w:vAlign w:val="bottom"/>
          </w:tcPr>
          <w:p>
            <w:pPr>
              <w:spacing w:after="0"/>
              <w:rPr>
                <w:sz w:val="15"/>
                <w:szCs w:val="15"/>
                <w:color w:val="auto"/>
              </w:rPr>
            </w:pPr>
          </w:p>
        </w:tc>
        <w:tc>
          <w:tcPr>
            <w:tcW w:w="106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9"/>
              </w:rPr>
              <w:t>0.79%-0.79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 (years)</w:t>
            </w:r>
          </w:p>
        </w:tc>
        <w:tc>
          <w:tcPr>
            <w:tcW w:w="4180" w:type="dxa"/>
            <w:vAlign w:val="bottom"/>
            <w:gridSpan w:val="2"/>
            <w:shd w:val="clear" w:color="auto" w:fill="CCEEFF"/>
          </w:tcPr>
          <w:p>
            <w:pPr>
              <w:jc w:val="center"/>
              <w:ind w:left="3005"/>
              <w:spacing w:after="0"/>
              <w:rPr>
                <w:sz w:val="20"/>
                <w:szCs w:val="20"/>
                <w:color w:val="auto"/>
              </w:rPr>
            </w:pPr>
            <w:r>
              <w:rPr>
                <w:rFonts w:ascii="Times New Roman" w:cs="Times New Roman" w:eastAsia="Times New Roman" w:hAnsi="Times New Roman"/>
                <w:sz w:val="15"/>
                <w:szCs w:val="15"/>
                <w:color w:val="auto"/>
                <w:w w:val="98"/>
              </w:rPr>
              <w:t>5.5-6.5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rPr>
              <w:t>4.7-5.9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0"/>
        </w:trPr>
        <w:tc>
          <w:tcPr>
            <w:tcW w:w="3100" w:type="dxa"/>
            <w:vAlign w:val="bottom"/>
          </w:tcPr>
          <w:p>
            <w:pPr>
              <w:spacing w:after="0"/>
              <w:rPr>
                <w:sz w:val="20"/>
                <w:szCs w:val="20"/>
                <w:color w:val="auto"/>
              </w:rPr>
            </w:pPr>
            <w:r>
              <w:rPr>
                <w:rFonts w:ascii="Times New Roman" w:cs="Times New Roman" w:eastAsia="Times New Roman" w:hAnsi="Times New Roman"/>
                <w:sz w:val="15"/>
                <w:szCs w:val="15"/>
                <w:color w:val="auto"/>
              </w:rPr>
              <w:t>Expected stock price volatility</w:t>
            </w:r>
          </w:p>
        </w:tc>
        <w:tc>
          <w:tcPr>
            <w:tcW w:w="4180" w:type="dxa"/>
            <w:vAlign w:val="bottom"/>
            <w:gridSpan w:val="2"/>
          </w:tcPr>
          <w:p>
            <w:pPr>
              <w:jc w:val="center"/>
              <w:ind w:left="2985"/>
              <w:spacing w:after="0"/>
              <w:rPr>
                <w:sz w:val="20"/>
                <w:szCs w:val="20"/>
                <w:color w:val="auto"/>
              </w:rPr>
            </w:pPr>
            <w:r>
              <w:rPr>
                <w:rFonts w:ascii="Times New Roman" w:cs="Times New Roman" w:eastAsia="Times New Roman" w:hAnsi="Times New Roman"/>
                <w:sz w:val="15"/>
                <w:szCs w:val="15"/>
                <w:color w:val="auto"/>
              </w:rPr>
              <w:t>80</w:t>
            </w: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95"/>
              </w:rPr>
              <w:t>%</w:t>
            </w:r>
          </w:p>
        </w:tc>
        <w:tc>
          <w:tcPr>
            <w:tcW w:w="120" w:type="dxa"/>
            <w:vAlign w:val="bottom"/>
          </w:tcPr>
          <w:p>
            <w:pPr>
              <w:spacing w:after="0"/>
              <w:rPr>
                <w:sz w:val="15"/>
                <w:szCs w:val="15"/>
                <w:color w:val="auto"/>
              </w:rPr>
            </w:pPr>
          </w:p>
        </w:tc>
        <w:tc>
          <w:tcPr>
            <w:tcW w:w="106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rPr>
              <w:t>80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940" w:type="dxa"/>
            <w:vAlign w:val="bottom"/>
            <w:shd w:val="clear" w:color="auto" w:fill="CCEEFF"/>
          </w:tcPr>
          <w:p>
            <w:pPr>
              <w:spacing w:after="0"/>
              <w:rPr>
                <w:sz w:val="15"/>
                <w:szCs w:val="15"/>
                <w:color w:val="auto"/>
              </w:rPr>
            </w:pPr>
          </w:p>
        </w:tc>
        <w:tc>
          <w:tcPr>
            <w:tcW w:w="12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720"/>
        </w:trPr>
        <w:tc>
          <w:tcPr>
            <w:tcW w:w="3100" w:type="dxa"/>
            <w:vAlign w:val="bottom"/>
          </w:tcPr>
          <w:p>
            <w:pPr>
              <w:spacing w:after="0"/>
              <w:rPr>
                <w:sz w:val="24"/>
                <w:szCs w:val="24"/>
                <w:color w:val="auto"/>
              </w:rPr>
            </w:pPr>
          </w:p>
        </w:tc>
        <w:tc>
          <w:tcPr>
            <w:tcW w:w="2940" w:type="dxa"/>
            <w:vAlign w:val="bottom"/>
          </w:tcPr>
          <w:p>
            <w:pPr>
              <w:jc w:val="right"/>
              <w:ind w:right="1425"/>
              <w:spacing w:after="0"/>
              <w:rPr>
                <w:sz w:val="20"/>
                <w:szCs w:val="20"/>
                <w:color w:val="auto"/>
              </w:rPr>
            </w:pPr>
            <w:r>
              <w:rPr>
                <w:rFonts w:ascii="Times New Roman" w:cs="Times New Roman" w:eastAsia="Times New Roman" w:hAnsi="Times New Roman"/>
                <w:sz w:val="15"/>
                <w:szCs w:val="15"/>
                <w:color w:val="auto"/>
              </w:rPr>
              <w:t>31</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4"/>
        </w:trPr>
        <w:tc>
          <w:tcPr>
            <w:tcW w:w="3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2"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summarizes the Company’s employee and non-employee stock option activity under the Plan for the following periods: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w w:val="98"/>
              </w:rPr>
              <w:t>Aggregate</w:t>
            </w:r>
          </w:p>
        </w:tc>
        <w:tc>
          <w:tcPr>
            <w:tcW w:w="0" w:type="dxa"/>
            <w:vAlign w:val="bottom"/>
          </w:tcPr>
          <w:p>
            <w:pPr>
              <w:spacing w:after="0"/>
              <w:rPr>
                <w:sz w:val="1"/>
                <w:szCs w:val="1"/>
                <w:color w:val="auto"/>
              </w:rPr>
            </w:pPr>
          </w:p>
        </w:tc>
      </w:tr>
      <w:tr>
        <w:trPr>
          <w:trHeight w:val="124"/>
        </w:trPr>
        <w:tc>
          <w:tcPr>
            <w:tcW w:w="4940" w:type="dxa"/>
            <w:vAlign w:val="bottom"/>
          </w:tcPr>
          <w:p>
            <w:pPr>
              <w:spacing w:after="0"/>
              <w:rPr>
                <w:sz w:val="10"/>
                <w:szCs w:val="10"/>
                <w:color w:val="auto"/>
              </w:rPr>
            </w:pPr>
          </w:p>
        </w:tc>
        <w:tc>
          <w:tcPr>
            <w:tcW w:w="860" w:type="dxa"/>
            <w:vAlign w:val="bottom"/>
            <w:vMerge w:val="restart"/>
          </w:tcPr>
          <w:p>
            <w:pPr>
              <w:jc w:val="right"/>
              <w:ind w:right="87"/>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average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9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average</w:t>
            </w:r>
          </w:p>
        </w:tc>
        <w:tc>
          <w:tcPr>
            <w:tcW w:w="7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8"/>
              </w:rPr>
              <w:t>remaining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08"/>
              <w:spacing w:after="0" w:line="124" w:lineRule="exact"/>
              <w:rPr>
                <w:sz w:val="20"/>
                <w:szCs w:val="20"/>
                <w:color w:val="auto"/>
              </w:rPr>
            </w:pPr>
            <w:r>
              <w:rPr>
                <w:rFonts w:ascii="Times New Roman" w:cs="Times New Roman" w:eastAsia="Times New Roman" w:hAnsi="Times New Roman"/>
                <w:sz w:val="12"/>
                <w:szCs w:val="12"/>
                <w:b w:val="1"/>
                <w:bCs w:val="1"/>
                <w:color w:val="auto"/>
                <w:w w:val="98"/>
              </w:rPr>
              <w:t>intrinsic</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860" w:type="dxa"/>
            <w:vAlign w:val="bottom"/>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exercise price</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term (years)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172"/>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2020 (as previously reported)</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486,755</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w:t>
            </w: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19,571,655</w:t>
            </w:r>
          </w:p>
        </w:tc>
        <w:tc>
          <w:tcPr>
            <w:tcW w:w="0" w:type="dxa"/>
            <w:vAlign w:val="bottom"/>
          </w:tcPr>
          <w:p>
            <w:pPr>
              <w:spacing w:after="0"/>
              <w:rPr>
                <w:sz w:val="1"/>
                <w:szCs w:val="1"/>
                <w:color w:val="auto"/>
              </w:rPr>
            </w:pPr>
          </w:p>
        </w:tc>
      </w:tr>
      <w:tr>
        <w:trPr>
          <w:trHeight w:val="180"/>
        </w:trPr>
        <w:tc>
          <w:tcPr>
            <w:tcW w:w="4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Retroactive application of reverse recapitalization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1,927,548</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(8.62)</w:t>
            </w: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2020, effect of Merger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2,414,303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53,659,966</w:t>
            </w:r>
          </w:p>
        </w:tc>
        <w:tc>
          <w:tcPr>
            <w:tcW w:w="0" w:type="dxa"/>
            <w:vAlign w:val="bottom"/>
          </w:tcPr>
          <w:p>
            <w:pPr>
              <w:spacing w:after="0"/>
              <w:rPr>
                <w:sz w:val="1"/>
                <w:szCs w:val="1"/>
                <w:color w:val="auto"/>
              </w:rPr>
            </w:pPr>
          </w:p>
        </w:tc>
      </w:tr>
      <w:tr>
        <w:trPr>
          <w:trHeight w:val="180"/>
        </w:trPr>
        <w:tc>
          <w:tcPr>
            <w:tcW w:w="4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Options 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210,800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3,825,276</w:t>
            </w: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Forfeited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(198,400)</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(6,587,328)</w:t>
            </w:r>
          </w:p>
        </w:tc>
        <w:tc>
          <w:tcPr>
            <w:tcW w:w="0" w:type="dxa"/>
            <w:vAlign w:val="bottom"/>
          </w:tcPr>
          <w:p>
            <w:pPr>
              <w:spacing w:after="0"/>
              <w:rPr>
                <w:sz w:val="1"/>
                <w:szCs w:val="1"/>
                <w:color w:val="auto"/>
              </w:rPr>
            </w:pPr>
          </w:p>
        </w:tc>
      </w:tr>
      <w:tr>
        <w:trPr>
          <w:trHeight w:val="172"/>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Outstanding as of March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2,426,703</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40" w:type="dxa"/>
            <w:vAlign w:val="bottom"/>
          </w:tcPr>
          <w:p>
            <w:pPr>
              <w:spacing w:after="0"/>
              <w:rPr>
                <w:sz w:val="14"/>
                <w:szCs w:val="14"/>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30,388,510</w:t>
            </w: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Options granted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587,030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Forfeited</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(89,280)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(339,082)</w:t>
            </w: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(42,385)</w:t>
            </w:r>
          </w:p>
        </w:tc>
        <w:tc>
          <w:tcPr>
            <w:tcW w:w="0" w:type="dxa"/>
            <w:vAlign w:val="bottom"/>
          </w:tcPr>
          <w:p>
            <w:pPr>
              <w:spacing w:after="0"/>
              <w:rPr>
                <w:sz w:val="1"/>
                <w:szCs w:val="1"/>
                <w:color w:val="auto"/>
              </w:rPr>
            </w:pPr>
          </w:p>
        </w:tc>
      </w:tr>
      <w:tr>
        <w:trPr>
          <w:trHeight w:val="180"/>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Outstanding as of June 30,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2,919,493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20,558,299</w:t>
            </w:r>
          </w:p>
        </w:tc>
        <w:tc>
          <w:tcPr>
            <w:tcW w:w="0" w:type="dxa"/>
            <w:vAlign w:val="bottom"/>
          </w:tcPr>
          <w:p>
            <w:pPr>
              <w:spacing w:after="0"/>
              <w:rPr>
                <w:sz w:val="1"/>
                <w:szCs w:val="1"/>
                <w:color w:val="auto"/>
              </w:rPr>
            </w:pPr>
          </w:p>
        </w:tc>
      </w:tr>
      <w:tr>
        <w:trPr>
          <w:trHeight w:val="172"/>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vested and exercisable as of June 30,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1,095,294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11,106,829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The aggregate intrinsic value in the above table is calculated as the difference between fair value of the Company’s common stock price and the exercise price of the stock options. The weighted average grant date fair value per share for employee stock and non-employee option grants during the three months ended and six months ended June 30, 2021, respectively was $14.31 and $18.37. The weighted average grant date fair value per share for employee stock and non-employee option grants during the three months ended and six months ended June 30, 2020, respectively was $1.25 and $1.25. At June 30, 2021, the total unrecognized compensation related to unvested employee and non-employee stock option awards granted, including unrecognized compensation costs related to Substitute Options of $25,877,473, was $33,610,165, of which the Company expects to recognize $9,117,887 over a weighted-average period of approximately 1.89 years.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summarizes the Company’s recognition of stock-based compensation for the following periods: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3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15"/>
        </w:trPr>
        <w:tc>
          <w:tcPr>
            <w:tcW w:w="3700" w:type="dxa"/>
            <w:vAlign w:val="bottom"/>
            <w:tcBorders>
              <w:bottom w:val="single" w:sz="8" w:color="CCEEFF"/>
            </w:tcBorders>
          </w:tcPr>
          <w:p>
            <w:pPr>
              <w:spacing w:after="0"/>
              <w:rPr>
                <w:sz w:val="10"/>
                <w:szCs w:val="10"/>
                <w:color w:val="auto"/>
              </w:rPr>
            </w:pPr>
          </w:p>
        </w:tc>
        <w:tc>
          <w:tcPr>
            <w:tcW w:w="12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91"/>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9"/>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91"/>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09"/>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r>
      <w:tr>
        <w:trPr>
          <w:trHeight w:val="17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0"/>
        </w:trPr>
        <w:tc>
          <w:tcPr>
            <w:tcW w:w="37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4,094,549</w:t>
            </w:r>
          </w:p>
        </w:tc>
        <w:tc>
          <w:tcPr>
            <w:tcW w:w="36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50,881</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4,438,583</w:t>
            </w:r>
          </w:p>
        </w:tc>
        <w:tc>
          <w:tcPr>
            <w:tcW w:w="140" w:type="dxa"/>
            <w:vAlign w:val="bottom"/>
          </w:tcPr>
          <w:p>
            <w:pPr>
              <w:spacing w:after="0"/>
              <w:rPr>
                <w:sz w:val="15"/>
                <w:szCs w:val="15"/>
                <w:color w:val="auto"/>
              </w:rPr>
            </w:pPr>
          </w:p>
        </w:tc>
        <w:tc>
          <w:tcPr>
            <w:tcW w:w="16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117,469</w:t>
            </w:r>
          </w:p>
        </w:tc>
      </w:tr>
      <w:tr>
        <w:trPr>
          <w:trHeight w:val="18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Regulatory and process development</w:t>
            </w:r>
          </w:p>
        </w:tc>
        <w:tc>
          <w:tcPr>
            <w:tcW w:w="12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188,781</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42,585</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216,445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64,800</w:t>
            </w:r>
          </w:p>
        </w:tc>
      </w:tr>
      <w:tr>
        <w:trPr>
          <w:trHeight w:val="172"/>
        </w:trPr>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1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4,283,330</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93,466</w:t>
            </w:r>
          </w:p>
        </w:tc>
        <w:tc>
          <w:tcPr>
            <w:tcW w:w="140" w:type="dxa"/>
            <w:vAlign w:val="bottom"/>
          </w:tcPr>
          <w:p>
            <w:pPr>
              <w:spacing w:after="0"/>
              <w:rPr>
                <w:sz w:val="14"/>
                <w:szCs w:val="14"/>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4,655,028</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182,269</w:t>
            </w:r>
          </w:p>
        </w:tc>
      </w:tr>
      <w:tr>
        <w:trPr>
          <w:trHeight w:val="20"/>
        </w:trPr>
        <w:tc>
          <w:tcPr>
            <w:tcW w:w="3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13. Fair Value Measurements</w:t>
      </w:r>
    </w:p>
    <w:p>
      <w:pPr>
        <w:spacing w:after="0" w:line="19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5"/>
          <w:szCs w:val="15"/>
          <w:color w:val="auto"/>
        </w:rPr>
        <w:t>Fair value measurements discussed herein are based upon certain market assumptions and pertinent information available to management as of and during the six months ended June 30, 2021 and the year ended December 31, 2020. The carrying amount of accounts payable approximated fair value as they are short term in nature. The fair value of warrants issued for settlement and services are estimated based on the Black-Scholes model during the six months ended June 30, 2021 and the year ended December 31, 2020. The carrying value of notes payable approximated the estimated fair values due to their recent issuances.</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Fair Value on a Recurring Basis</w:t>
      </w:r>
    </w:p>
    <w:p>
      <w:pPr>
        <w:spacing w:after="0" w:line="192"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The Company follows the guidance in ASC 820 for its financial assets and liabilities that are re-measured and reported at fair value at each reporting period, and non-financial assets and liabilities that are re-measured and reported at fair value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at least annually. The estimated fair value of the warrant liabilities and Earnout Cash contingent consideration represent Level 3 measurements. The following table presents information about the Company’s liabilities that are measured at fair value on a recurring basis at June 30, 2021 and December 31, 2020, and indicates the fair value hierarchy of the valuation inputs the Company utilized to determine such fair value:</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5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Level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June 30, 2021 (As restated)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72"/>
        </w:trPr>
        <w:tc>
          <w:tcPr>
            <w:tcW w:w="5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0"/>
        </w:trPr>
        <w:tc>
          <w:tcPr>
            <w:tcW w:w="54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Warrant liabilities (Note 11)</w:t>
            </w:r>
          </w:p>
        </w:tc>
        <w:tc>
          <w:tcPr>
            <w:tcW w:w="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22,845,113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5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Earnout Cash liability (Note 5)</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25,874,896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r>
    </w:tbl>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auto"/>
        </w:rPr>
        <w:t>Warrant liabilities</w:t>
      </w:r>
    </w:p>
    <w:p>
      <w:pPr>
        <w:spacing w:after="0" w:line="18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5"/>
          <w:szCs w:val="15"/>
          <w:color w:val="auto"/>
        </w:rPr>
        <w:t>The Company utilizes a Black-Scholes model approach to value the Placement Warrants at each reporting period, with changes in fair value recognized in the statement of operations. The Company uses a modified Black-Scholes model approach for the Substitute Warrants which applies a probability factor based on the probabilities of achievement of the Earnout Cash Milestone and/or Earnout Shares Milestone at each reporting period, with changes in fair value recognized in the statement of operations. The estimated fair value of the warrant liabilities is determined using Level 3 inputs. Inherent in a Black Scholes options pricing model are assumptions related to expected share-price volatility, expected life, risk-free interest rate and dividend yield. The Company estimates the volatility of its common stock based on historical and peer company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60" w:lineRule="exact"/>
        <w:rPr>
          <w:sz w:val="20"/>
          <w:szCs w:val="20"/>
          <w:color w:val="auto"/>
        </w:rPr>
      </w:pPr>
    </w:p>
    <w:p>
      <w:pPr>
        <w:ind w:left="40" w:right="539"/>
        <w:spacing w:after="0" w:line="280" w:lineRule="auto"/>
        <w:rPr>
          <w:sz w:val="20"/>
          <w:szCs w:val="20"/>
          <w:color w:val="auto"/>
        </w:rPr>
      </w:pPr>
      <w:r>
        <w:rPr>
          <w:rFonts w:ascii="Times New Roman" w:cs="Times New Roman" w:eastAsia="Times New Roman" w:hAnsi="Times New Roman"/>
          <w:sz w:val="15"/>
          <w:szCs w:val="15"/>
          <w:color w:val="auto"/>
        </w:rPr>
        <w:t>The significant inputs used in the Black-Scholes model to measure the warrant liabilities that are categorized within Level 3 of the fair value hierarchy are as follows: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4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rPr>
              <w:t>June 30, 2021</w:t>
            </w: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At Effective Time</w:t>
            </w:r>
          </w:p>
        </w:tc>
        <w:tc>
          <w:tcPr>
            <w:tcW w:w="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60"/>
        </w:trPr>
        <w:tc>
          <w:tcPr>
            <w:tcW w:w="4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80" w:type="dxa"/>
            <w:vAlign w:val="bottom"/>
            <w:gridSpan w:val="6"/>
          </w:tcPr>
          <w:p>
            <w:pPr>
              <w:ind w:left="84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life</w:t>
            </w:r>
          </w:p>
        </w:tc>
        <w:tc>
          <w:tcPr>
            <w:tcW w:w="2480" w:type="dxa"/>
            <w:vAlign w:val="bottom"/>
            <w:gridSpan w:val="2"/>
            <w:shd w:val="clear" w:color="auto" w:fill="CCEEFF"/>
          </w:tcPr>
          <w:p>
            <w:pPr>
              <w:jc w:val="center"/>
              <w:ind w:left="1585"/>
              <w:spacing w:after="0"/>
              <w:rPr>
                <w:sz w:val="20"/>
                <w:szCs w:val="20"/>
                <w:color w:val="auto"/>
              </w:rPr>
            </w:pPr>
            <w:r>
              <w:rPr>
                <w:rFonts w:ascii="Times New Roman" w:cs="Times New Roman" w:eastAsia="Times New Roman" w:hAnsi="Times New Roman"/>
                <w:sz w:val="15"/>
                <w:szCs w:val="15"/>
                <w:color w:val="auto"/>
                <w:w w:val="98"/>
              </w:rPr>
              <w:t>0.2-4.9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0.3-5.0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0"/>
        </w:trPr>
        <w:tc>
          <w:tcPr>
            <w:tcW w:w="48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2480" w:type="dxa"/>
            <w:vAlign w:val="bottom"/>
            <w:gridSpan w:val="2"/>
          </w:tcPr>
          <w:p>
            <w:pPr>
              <w:jc w:val="center"/>
              <w:ind w:left="1585"/>
              <w:spacing w:after="0"/>
              <w:rPr>
                <w:sz w:val="20"/>
                <w:szCs w:val="20"/>
                <w:color w:val="auto"/>
              </w:rPr>
            </w:pPr>
            <w:r>
              <w:rPr>
                <w:rFonts w:ascii="Times New Roman" w:cs="Times New Roman" w:eastAsia="Times New Roman" w:hAnsi="Times New Roman"/>
                <w:sz w:val="15"/>
                <w:szCs w:val="15"/>
                <w:color w:val="auto"/>
                <w:w w:val="99"/>
              </w:rPr>
              <w:t>35.7%-85.9</w:t>
            </w:r>
          </w:p>
        </w:tc>
        <w:tc>
          <w:tcPr>
            <w:tcW w:w="280" w:type="dxa"/>
            <w:vAlign w:val="bottom"/>
            <w:gridSpan w:val="3"/>
          </w:tcPr>
          <w:p>
            <w:pPr>
              <w:jc w:val="center"/>
              <w:ind w:right="1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39.0%-80.0%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480" w:type="dxa"/>
            <w:vAlign w:val="bottom"/>
            <w:gridSpan w:val="2"/>
            <w:shd w:val="clear" w:color="auto" w:fill="CCEEFF"/>
          </w:tcPr>
          <w:p>
            <w:pPr>
              <w:jc w:val="center"/>
              <w:ind w:left="1585"/>
              <w:spacing w:after="0"/>
              <w:rPr>
                <w:sz w:val="20"/>
                <w:szCs w:val="20"/>
                <w:color w:val="auto"/>
              </w:rPr>
            </w:pPr>
            <w:r>
              <w:rPr>
                <w:rFonts w:ascii="Times New Roman" w:cs="Times New Roman" w:eastAsia="Times New Roman" w:hAnsi="Times New Roman"/>
                <w:sz w:val="15"/>
                <w:szCs w:val="15"/>
                <w:color w:val="auto"/>
                <w:w w:val="99"/>
              </w:rPr>
              <w:t>0.02%-0.85</w:t>
            </w:r>
          </w:p>
        </w:tc>
        <w:tc>
          <w:tcPr>
            <w:tcW w:w="280" w:type="dxa"/>
            <w:vAlign w:val="bottom"/>
            <w:gridSpan w:val="3"/>
            <w:shd w:val="clear" w:color="auto" w:fill="CCEEFF"/>
          </w:tcPr>
          <w:p>
            <w:pPr>
              <w:jc w:val="center"/>
              <w:ind w:right="1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0.03%-0.82%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0"/>
        </w:trPr>
        <w:tc>
          <w:tcPr>
            <w:tcW w:w="4880" w:type="dxa"/>
            <w:vAlign w:val="bottom"/>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1540" w:type="dxa"/>
            <w:vAlign w:val="bottom"/>
          </w:tcPr>
          <w:p>
            <w:pPr>
              <w:spacing w:after="0"/>
              <w:rPr>
                <w:sz w:val="15"/>
                <w:szCs w:val="15"/>
                <w:color w:val="auto"/>
              </w:rPr>
            </w:pP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tcPr>
          <w:p>
            <w:pPr>
              <w:jc w:val="center"/>
              <w:ind w:right="1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tcPr>
          <w:p>
            <w:pPr>
              <w:spacing w:after="0"/>
              <w:rPr>
                <w:sz w:val="15"/>
                <w:szCs w:val="15"/>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of warrants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3.78-$10.09</w:t>
            </w:r>
          </w:p>
        </w:tc>
        <w:tc>
          <w:tcPr>
            <w:tcW w:w="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center"/>
              <w:ind w:left="7"/>
              <w:spacing w:after="0"/>
              <w:rPr>
                <w:sz w:val="20"/>
                <w:szCs w:val="20"/>
                <w:color w:val="auto"/>
              </w:rPr>
            </w:pPr>
            <w:r>
              <w:rPr>
                <w:rFonts w:ascii="Times New Roman" w:cs="Times New Roman" w:eastAsia="Times New Roman" w:hAnsi="Times New Roman"/>
                <w:sz w:val="15"/>
                <w:szCs w:val="15"/>
                <w:color w:val="auto"/>
                <w:w w:val="99"/>
              </w:rPr>
              <w:t>14.56-$22.72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359"/>
        </w:trPr>
        <w:tc>
          <w:tcPr>
            <w:tcW w:w="4880" w:type="dxa"/>
            <w:vAlign w:val="bottom"/>
          </w:tcPr>
          <w:p>
            <w:pPr>
              <w:spacing w:after="0"/>
              <w:rPr>
                <w:sz w:val="20"/>
                <w:szCs w:val="20"/>
                <w:color w:val="auto"/>
              </w:rPr>
            </w:pPr>
            <w:r>
              <w:rPr>
                <w:rFonts w:ascii="Times New Roman" w:cs="Times New Roman" w:eastAsia="Times New Roman" w:hAnsi="Times New Roman"/>
                <w:sz w:val="15"/>
                <w:szCs w:val="15"/>
                <w:color w:val="auto"/>
              </w:rPr>
              <w:t>A reconciliation of warrant liabilities is included below:</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7"/>
        </w:trPr>
        <w:tc>
          <w:tcPr>
            <w:tcW w:w="488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Fair Value (As restated)</w:t>
            </w:r>
          </w:p>
        </w:tc>
      </w:tr>
      <w:tr>
        <w:trPr>
          <w:trHeight w:val="17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December 31, 2020</w:t>
            </w:r>
          </w:p>
        </w:tc>
        <w:tc>
          <w:tcPr>
            <w:tcW w:w="1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48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Additions pursuant to Merger</w:t>
            </w:r>
          </w:p>
        </w:tc>
        <w:tc>
          <w:tcPr>
            <w:tcW w:w="1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40,204,122</w:t>
            </w:r>
          </w:p>
        </w:tc>
      </w:tr>
      <w:tr>
        <w:trPr>
          <w:trHeight w:val="180"/>
        </w:trPr>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Gain upon re-measurement</w:t>
            </w:r>
          </w:p>
        </w:tc>
        <w:tc>
          <w:tcPr>
            <w:tcW w:w="1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(17,359,009)</w:t>
            </w:r>
          </w:p>
        </w:tc>
      </w:tr>
      <w:tr>
        <w:trPr>
          <w:trHeight w:val="172"/>
        </w:trPr>
        <w:tc>
          <w:tcPr>
            <w:tcW w:w="488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June 30, 2021</w:t>
            </w: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20" w:type="dxa"/>
            <w:vAlign w:val="bottom"/>
          </w:tcPr>
          <w:p>
            <w:pPr>
              <w:jc w:val="center"/>
              <w:ind w:right="7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22,845,113</w:t>
            </w:r>
          </w:p>
        </w:tc>
      </w:tr>
      <w:tr>
        <w:trPr>
          <w:trHeight w:val="20"/>
        </w:trPr>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auto"/>
        </w:rPr>
        <w:t>Earnout Cash liability</w:t>
      </w:r>
    </w:p>
    <w:p>
      <w:pPr>
        <w:spacing w:after="0" w:line="188"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DCFs incorporate Level 3 inputs including estimated discount rates that we believe market participants would consider relevant in pricing and the projected timing and amount of cash flows, which are estimated and developed, considering the uncertainties associated with the obligations.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 reconciliation of the Earnout Cash liability is included below:</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7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72"/>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December 31, 2020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Additions pursuant to Merger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25,520,195</w:t>
            </w:r>
          </w:p>
        </w:tc>
      </w:tr>
      <w:tr>
        <w:trPr>
          <w:trHeight w:val="180"/>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Loss upon re-measurement</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354,701</w:t>
            </w:r>
          </w:p>
        </w:tc>
      </w:tr>
      <w:tr>
        <w:trPr>
          <w:trHeight w:val="172"/>
        </w:trPr>
        <w:tc>
          <w:tcPr>
            <w:tcW w:w="786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June 30, 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25,874,896</w:t>
            </w: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Fair Value on a Non-Recurring Basis</w:t>
      </w:r>
    </w:p>
    <w:p>
      <w:pPr>
        <w:spacing w:after="0" w:line="19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The fair value of the contingent Earnout Shares has been estimated using the trading price of our Common Stock at the Effective Time ($24.25), discounted based on the probability of the Earnout Shares Milestone being met as determined at the Effective Time, and thus represents a Level 3 fair value measurement as defined in ASC 820. The contingent Earnout Shares, if achieved, would be issued to legacy NeuroRx shareholders. The Earnout Shares are a fixed number of shares to be issued to such shareholders on a pro rata basis. The fair value of the contingent Earnout Shares was recognized as a deemed dividend. Upon closing of the Merger, the estimated fair value of the contingent Earnout Shares was $255,822,071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14. Income Taxes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Company recorded no provision or benefit for income tax expense for the six months ended June 30, 2021.</w:t>
      </w:r>
    </w:p>
    <w:p>
      <w:pPr>
        <w:spacing w:after="0" w:line="188"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50" w:lineRule="exact"/>
        <w:rPr>
          <w:sz w:val="20"/>
          <w:szCs w:val="20"/>
          <w:color w:val="auto"/>
        </w:rPr>
      </w:pPr>
    </w:p>
    <w:p>
      <w:pPr>
        <w:jc w:val="both"/>
        <w:ind w:left="40" w:right="39"/>
        <w:spacing w:after="0" w:line="256" w:lineRule="auto"/>
        <w:rPr>
          <w:sz w:val="20"/>
          <w:szCs w:val="20"/>
          <w:color w:val="auto"/>
        </w:rPr>
      </w:pPr>
      <w:r>
        <w:rPr>
          <w:rFonts w:ascii="Times New Roman" w:cs="Times New Roman" w:eastAsia="Times New Roman" w:hAnsi="Times New Roman"/>
          <w:sz w:val="15"/>
          <w:szCs w:val="15"/>
          <w:color w:val="auto"/>
        </w:rPr>
        <w:t>On March 27, 2020, Congress enacted the CARES Act to provide certain relief as a result of the COVID-19 pandemic. The CARES Act, among other things, includes provisions relating to net operating loss carryback periods, alternative minimum tax credit refunds, and modification to the net interest deduction limitations. The CARES Act did not have a material impact on the Company’s consolidated financial statements for the six months ended June 30, 2021. The Company continues to monitor any effects on its financial statements that may result from the CARES Act. Upon consummation of the Merger, a change in control was deemed to have occurred and the Company's net operating loss carrybacks could be subject to limitations.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Company has no open tax audits with any taxing authority as of June 30, 2021.</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15. Related Party Transactions</w:t>
      </w:r>
    </w:p>
    <w:p>
      <w:pPr>
        <w:spacing w:after="0" w:line="19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color w:val="auto"/>
        </w:rPr>
        <w:t>The Company licenses patents that are owned by Glytech, LLC, pursuant to a license agreement (the Glytech Agreement). Glytech, LLC is owned by a co-founder and former Director of the Company, and therefore, a related party. The Glytech agreement requires that the Company pay Glytech for ongoing scientific support and also reimburse Glytech for expenses of obtaining and maintaining patents that are licensed to NRx Pharmaceuticals. During the three months ended June 30, 2021 and 2020 the Company paid a co-founder $125,000 and $0, respectively, and during the six months ended June 30, 2021 and 2020, $125,000 and $82,569, respectively, for continuing technology support services and reimbursed expenses. These support services are ongoing.</w:t>
      </w:r>
    </w:p>
    <w:p>
      <w:pPr>
        <w:spacing w:after="0" w:line="158"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The Fourth Amendment to the Glytech Agreement, effective as of December 31, 2020, includes an equity value-triggered transfer of Excluded Technology from Glytech to NRx Pharmaceuticals. The Excluded Technology is defined in the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NRX PHARMACEUTICALS,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192" w:lineRule="exact"/>
        <w:rPr>
          <w:sz w:val="20"/>
          <w:szCs w:val="20"/>
          <w:color w:val="auto"/>
        </w:rPr>
      </w:pPr>
    </w:p>
    <w:p>
      <w:pPr>
        <w:jc w:val="both"/>
        <w:ind w:left="40" w:right="39"/>
        <w:spacing w:after="0" w:line="256" w:lineRule="auto"/>
        <w:rPr>
          <w:sz w:val="20"/>
          <w:szCs w:val="20"/>
          <w:color w:val="auto"/>
        </w:rPr>
      </w:pPr>
      <w:r>
        <w:rPr>
          <w:rFonts w:ascii="Times New Roman" w:cs="Times New Roman" w:eastAsia="Times New Roman" w:hAnsi="Times New Roman"/>
          <w:sz w:val="15"/>
          <w:szCs w:val="15"/>
          <w:color w:val="auto"/>
        </w:rPr>
        <w:t>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The Excluded Technology will transfer to the Company for no additional consideration if the value of NRx Pharmaceuticals equity held by Glytech exceeds $50,000,000 at any time prior to August 6, 2022. After August 6, 2022, the additional IP will transfer to the Company at no cost. The Company believes the criteria have been met pending the registration of Glytech shares.</w:t>
      </w:r>
    </w:p>
    <w:p>
      <w:pPr>
        <w:spacing w:after="0" w:line="158"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The CEO of the Company is a major shareholder in the Company. Therefore, his services are deemed to be a related party transaction. He serves the company on a full-time basis and has an employment agreement with the Company and received compensation of $137,500 and $53,125 during the three months ended June 30, 2021 and 2020, respectively, and $286,250 and $121,875 during the six months ended June 30, 2021 and 2020, respectively. The services are ongoing.</w:t>
      </w:r>
    </w:p>
    <w:p>
      <w:pPr>
        <w:spacing w:after="0" w:line="154"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The CEO’s son provides services related to website, IT, and marketing support under the supervision of the Company’s Chief Commercial Officer, who is responsible for assuring that the services are provided on financial terms that are at market. NRx Pharmaceuticals paid this family member a total of $11,100 and $18,605 during the three months ended June 30, 2021 and 2020, respectively, and $29,740 and $40,770 during the six months ended June 30, 2021 and 2020, respectively.</w:t>
      </w:r>
    </w:p>
    <w:p>
      <w:pPr>
        <w:spacing w:after="0" w:line="15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In addition, NRx Pharmaceuticals pays Pill Tracker 2015 Ltd. (“Pill Tracker”) for services relating to the development of the inhaled use form of aviptadil. The CEO’s son and our CEO are the chief executive officer and the board chairman, respectively, of Pill Tracker. NRx Pharmaceuticals paid Pill Tracker $254,936 and $0 during the three months ended June 30, 2021 and 2020, respectively, and $395,757 and $0 during the six months ended June 30, 2021 and 2020, respectively.</w:t>
      </w:r>
    </w:p>
    <w:p>
      <w:pPr>
        <w:spacing w:after="0" w:line="15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The CEO’s other son, as a medical doctor, provides research services related to the development of the inhaled use form of aviptadil, under the supervision of the CEO, who is responsible for assuring that the services are provided on financial terms that are at market. NRx Pharmaceuticals paid this family member a total of $4,615 and $4,820 during the three months ended June 30, 2021 and 2020, respectively, and $6,110 and $4,820 during the six months ended June 30, 2021 and 2020, respectively.</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Included in accounts payable were $44,201 and $149,067 due to the above related parties as of June 30, 2021 and December 31, 2020, respectively.</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16. Subsequent Events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Related Party Transaction</w:t>
      </w:r>
    </w:p>
    <w:p>
      <w:pPr>
        <w:spacing w:after="0" w:line="215" w:lineRule="exact"/>
        <w:rPr>
          <w:sz w:val="20"/>
          <w:szCs w:val="20"/>
          <w:color w:val="auto"/>
        </w:rPr>
      </w:pPr>
    </w:p>
    <w:p>
      <w:pPr>
        <w:jc w:val="both"/>
        <w:ind w:left="40" w:right="59"/>
        <w:spacing w:after="0" w:line="231" w:lineRule="auto"/>
        <w:rPr>
          <w:sz w:val="20"/>
          <w:szCs w:val="20"/>
          <w:color w:val="auto"/>
        </w:rPr>
      </w:pPr>
      <w:r>
        <w:rPr>
          <w:rFonts w:ascii="Times New Roman" w:cs="Times New Roman" w:eastAsia="Times New Roman" w:hAnsi="Times New Roman"/>
          <w:sz w:val="15"/>
          <w:szCs w:val="15"/>
          <w:color w:val="auto"/>
        </w:rPr>
        <w:t>Subsequent to June 30, 2021, the Company and Pill Tracker entered into a statement of work dated July 26, 2021 under the Master Services Agreement dated April 1, 2020 for the provision of additional support of inhaled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xml:space="preserve"> in phase 2/3 clinical trials with a total cost of $157,110.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3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of NRx Pharmaceuticals’ financial condition and plan of operations together with “Selected Financial Data” and NRx Pharmaceuticals' financial statements and the related notes appearing elsewhere in this proxy statement / prospectus / consent solicitation statement.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in this proxy statement / prospectus / consent solicitation statement. All amounts in this report are in U.S. dollars, unless otherwise noted.</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24" w:lineRule="exact"/>
        <w:rPr>
          <w:sz w:val="20"/>
          <w:szCs w:val="20"/>
          <w:color w:val="auto"/>
        </w:rPr>
      </w:pPr>
    </w:p>
    <w:p>
      <w:pPr>
        <w:jc w:val="both"/>
        <w:ind w:left="40" w:right="39"/>
        <w:spacing w:after="0" w:line="256" w:lineRule="auto"/>
        <w:rPr>
          <w:sz w:val="20"/>
          <w:szCs w:val="20"/>
          <w:color w:val="auto"/>
        </w:rPr>
      </w:pPr>
      <w:r>
        <w:rPr>
          <w:rFonts w:ascii="Times New Roman" w:cs="Times New Roman" w:eastAsia="Times New Roman" w:hAnsi="Times New Roman"/>
          <w:sz w:val="15"/>
          <w:szCs w:val="15"/>
          <w:color w:val="auto"/>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wholly-owned, direct subsidiary of BRPA (“Merger Sub”). Pursuant to the Merger Agreement, on May 24, 2021 (the “Closing Date”), which has been accounted for as a reverse recapitalization, Merger Sub was merged with and into NeuroRx, with NeuroRx surviving the merger (“Merger” and, together with the other transactions contemplated by the Merger Agreement, the “Transactions”). On the Closing Date, BRPA changed its name to NRX Pharmaceuticals, Inc. (“NRx Pharmaceuticals" or the "Company”).</w:t>
      </w:r>
    </w:p>
    <w:p>
      <w:pPr>
        <w:spacing w:after="0" w:line="181" w:lineRule="exact"/>
        <w:rPr>
          <w:sz w:val="20"/>
          <w:szCs w:val="20"/>
          <w:color w:val="auto"/>
        </w:rPr>
      </w:pPr>
    </w:p>
    <w:p>
      <w:pPr>
        <w:jc w:val="both"/>
        <w:ind w:left="40" w:right="39"/>
        <w:spacing w:after="0" w:line="265" w:lineRule="auto"/>
        <w:rPr>
          <w:sz w:val="20"/>
          <w:szCs w:val="20"/>
          <w:color w:val="auto"/>
        </w:rPr>
      </w:pPr>
      <w:r>
        <w:rPr>
          <w:rFonts w:ascii="Times New Roman" w:cs="Times New Roman" w:eastAsia="Times New Roman" w:hAnsi="Times New Roman"/>
          <w:sz w:val="15"/>
          <w:szCs w:val="15"/>
          <w:color w:val="auto"/>
        </w:rPr>
        <w:t>NRx Pharmaceuticals is a clinical stage pharmaceutical company that is developing NRX-101, the first oral therapeutic for the treatment of Acute Suicidal Behavior/Ideation (ASIB) in Bipolar Disorder and ZYESAMI (aviptadil), an intravenous and inhaled drug to treat respiratory failure in COVID-19.</w:t>
      </w:r>
    </w:p>
    <w:p>
      <w:pPr>
        <w:spacing w:after="0" w:line="8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color w:val="auto"/>
        </w:rPr>
        <w:t>The NRx Pharmaceuticals Antidepressant Regime was developed based upon 30 years of basic science and clinical expertise contributed by Prof. Daniel Javitt, PhD, MD, related to the role of the brain’s N-methyl-D-aspartate (NMDA) receptor in regulating human thought processes in general and in regulating depression and suicidality. The NRx Pharmaceuticals Antidepressant Regime begins with a single dose of ketamine, an FDA approved anesthetic, followed by approximately six weeks of daily oral NRX-101. NRX-101 is being developed as a rapid-onset and sustained treatment for acute suicidal crisis associated with bipolar depression. NRX-101 combines DCS, a NMDA receptor modulator, and lurasidone, a 5-HT2a receptor antagonist.</w:t>
      </w:r>
    </w:p>
    <w:p>
      <w:pPr>
        <w:spacing w:after="0" w:line="10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NRX-101 has been awarded Fast Track designation, Breakthrough Therapy designation, and a Special Protocol Agreement by the FDA. Peer-reviewed and published results from multiple Phase II clinical studies demonstrate a significant decline in symptoms of depression and suicidality following administration of DCS.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P2a combination study of DCS and 5HT2a included mild sedation, headaches and hypomania. Breakthrough Therapy designation was awarded based on the STABIL-B study (</w:t>
      </w:r>
      <w:r>
        <w:rPr>
          <w:rFonts w:ascii="Times New Roman" w:cs="Times New Roman" w:eastAsia="Times New Roman" w:hAnsi="Times New Roman"/>
          <w:sz w:val="15"/>
          <w:szCs w:val="15"/>
          <w:u w:val="single" w:color="auto"/>
          <w:color w:val="auto"/>
        </w:rPr>
        <w:t>www.clinicaltrials.gov</w:t>
      </w:r>
      <w:r>
        <w:rPr>
          <w:rFonts w:ascii="Times New Roman" w:cs="Times New Roman" w:eastAsia="Times New Roman" w:hAnsi="Times New Roman"/>
          <w:sz w:val="15"/>
          <w:szCs w:val="15"/>
          <w:color w:val="auto"/>
        </w:rPr>
        <w:t xml:space="preserve"> NCT02974010) that demonstrated a statistically significant advantage of NRX-101 vs. lurasidone (the current standard of care) in maintaining remission from depression and suicidality following a single stabilizing dose of ketamine.</w:t>
      </w:r>
    </w:p>
    <w:p>
      <w:pPr>
        <w:spacing w:after="0" w:line="100"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In March 2020, NRx Pharmaceuticals initiated development of RLF-100 (aviptadil acetate) (now reformulated as ZYESAMI) in partnership with Relief Therapeutics. ZYESAMI is based on 50 years of research, pioneered by Professor Sami Said, on the role of Vasoactive Intestinal Peptide in preventing and treating acute lung injury by protecting the Type II cell in the lung. The rights to Dr. Said’s scientific work are licensed by NRx Pharmaceuticals from the Research Foundation of the State University of New York and NRx Pharmaceuticals expects to cross-license such rights to Relief Therapeutics for use outside US, Canada, and Israel.</w:t>
      </w:r>
    </w:p>
    <w:p>
      <w:pPr>
        <w:spacing w:after="0" w:line="87"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In that partnership and pursuant to the Relief Agreement, Relief has committed to fund all costs of formulations and clinical development of the RLF Product for the treatment of COVID-19. The companies agreed that NRx Pharmaceuticals would lead all development and sales in the United States, Canada, and Israel, with NRx Pharmaceuticals receiving 50% of the profits generated in those territories. Relief is to lead the development and sale of the RLF Product in the rest of the world with NRx Pharmaceuticals receiving 15% of profits in Europe and the United Kingdom, together with 20% of profits in the rest of the world. For the six months ended June 30, 2021.</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Relief has reimbursed NRx Pharmaceuticals for approximately $10.9 million of expenses, but has declined to pay approximately $6 million in invoiced costs associated with conduct of the RLF Product clinical trial, reformulation, and manufacture of ZYESAMI. Relief has additionally declined to fund the costs of the inhaled trial product. NRx Pharmaceuticals has advised Relief that NRx Pharmaceuticals is funding those costs with other capital.</w:t>
      </w:r>
    </w:p>
    <w:p>
      <w:pPr>
        <w:spacing w:after="0" w:line="98" w:lineRule="exact"/>
        <w:rPr>
          <w:sz w:val="20"/>
          <w:szCs w:val="20"/>
          <w:color w:val="auto"/>
        </w:rPr>
      </w:pPr>
    </w:p>
    <w:p>
      <w:pPr>
        <w:jc w:val="both"/>
        <w:ind w:left="40" w:right="39"/>
        <w:spacing w:after="0" w:line="280" w:lineRule="auto"/>
        <w:rPr>
          <w:sz w:val="20"/>
          <w:szCs w:val="20"/>
          <w:color w:val="auto"/>
        </w:rPr>
      </w:pPr>
      <w:r>
        <w:rPr>
          <w:rFonts w:ascii="Times New Roman" w:cs="Times New Roman" w:eastAsia="Times New Roman" w:hAnsi="Times New Roman"/>
          <w:sz w:val="15"/>
          <w:szCs w:val="15"/>
          <w:color w:val="auto"/>
        </w:rPr>
        <w:t>In an open-label, single center trial at Houston Methodist Hospital, ZYESAMI demonstrated a statistically significant 9-fold advantage in probability of survival and recovery from respiratory failure compared to the standard of care among patients with COVID-19 Respiratory Failure.</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On June 1, 2021, NRx Pharmaceuticals reported phase IIb/III study results of ZYESAMI in patients with respiratory failure due to critical COVID-</w:t>
      </w:r>
    </w:p>
    <w:p>
      <w:pPr>
        <w:spacing w:after="0" w:line="21" w:lineRule="exact"/>
        <w:rPr>
          <w:sz w:val="20"/>
          <w:szCs w:val="20"/>
          <w:color w:val="auto"/>
        </w:rPr>
      </w:pPr>
    </w:p>
    <w:p>
      <w:pPr>
        <w:jc w:val="both"/>
        <w:ind w:left="40" w:right="59" w:hanging="4"/>
        <w:spacing w:after="0" w:line="256" w:lineRule="auto"/>
        <w:tabs>
          <w:tab w:leader="none" w:pos="294"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study identified a statistically significant increase in the likelihood that patients treated with ZYESAMI would be alive and free of respiratory failure at 60 days, compared to those treated with placebo, and identified a significantly shorter median hospital stay. The clinical study report filed with the FDA further documented statistically significant advantages for ZYESAMI on all major secondary endpoints.</w:t>
      </w:r>
    </w:p>
    <w:p>
      <w:pPr>
        <w:spacing w:after="0" w:line="99"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color w:val="auto"/>
        </w:rPr>
        <w:t>On the basis of these results, the Company applied for FDA Emergency Use Authorization on May 31, 2021 and is currently awaiting the FDA’s response to such application. Should Emergency Use Authorization be granted, this would provide the Company with a one-year period during which ZYESAMI could be marketed for the treatment of COVID-19 in the United States in advance of the Company filing a new drug application (NDA) with the FDA for formal approval of ZYESAMI for the treatment of COVID-19 based on the recently completed clinical trial and the additional clinical trials currently underway, including the NIH ACTIV3b/TESICO trial (NCT 04843761). If authorized for use, ZYESAMI would be the first drug in the United States indicated specifically for COVID-19 patients who are critically ill with respiratory failure.</w:t>
      </w:r>
    </w:p>
    <w:p>
      <w:pPr>
        <w:spacing w:after="0" w:line="9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5"/>
          <w:szCs w:val="15"/>
          <w:color w:val="auto"/>
        </w:rPr>
        <w:t>In July 2021, the nation of Georgia issued an Emergency Use Authorization (EUA) for intravenous ZYESAMI (aviptadil) for the treatment of critical COVID-19. Pursuant to this EUA, the Company has sent a team of physicians to Georgia to train local doctors about administering ZYESAMI and the effects of the medicine. The supply of intravenous doses by the Company is being discussed with the Georgia Ministry of Health and with the Ministries of Health of surrounding nations.</w:t>
      </w:r>
    </w:p>
    <w:p>
      <w:pPr>
        <w:spacing w:after="0" w:line="8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5"/>
          <w:szCs w:val="15"/>
          <w:color w:val="auto"/>
        </w:rPr>
        <w:t>Although the initial focus has been on the use of intravenous ZYESAMI, the Company has received permission from the FDA to test inhaled ZYESAMI in a phase 2/3 clinical trial for patients with early disease. The Company believes that the inhaled drug will be more convenient for patients to self-administer than the intravenous drug, provided patients are still able to inhale normally and do not have inflammatory debris clogging the alveoli. This clinical trial commenced in January 2021 and is expected to conclude by October 2021. In addition, the Company announced in July 2021 that the phase 2/3 trial for the use of inhaled ZYESAMI has been extended to the nation of Georgia.</w:t>
      </w:r>
    </w:p>
    <w:p>
      <w:pPr>
        <w:spacing w:after="0" w:line="98" w:lineRule="exact"/>
        <w:rPr>
          <w:sz w:val="20"/>
          <w:szCs w:val="20"/>
          <w:color w:val="auto"/>
        </w:rPr>
      </w:pPr>
    </w:p>
    <w:p>
      <w:pPr>
        <w:jc w:val="both"/>
        <w:ind w:left="40" w:right="39"/>
        <w:spacing w:after="0" w:line="266" w:lineRule="auto"/>
        <w:rPr>
          <w:sz w:val="20"/>
          <w:szCs w:val="20"/>
          <w:color w:val="auto"/>
        </w:rPr>
      </w:pPr>
      <w:r>
        <w:rPr>
          <w:rFonts w:ascii="Times New Roman" w:cs="Times New Roman" w:eastAsia="Times New Roman" w:hAnsi="Times New Roman"/>
          <w:sz w:val="15"/>
          <w:szCs w:val="15"/>
          <w:color w:val="auto"/>
        </w:rPr>
        <w:t>The Company has also commenced work on a third potential drug product by signing a Memorandum of Understanding with the Government of Israel (MoU) for an exclusive, worldwide license to develop a novel Coronavirus vaccine (BriLife) developed by the Israel Institute for Biological Research (IIBR). The vaccine has demonstrated a statistically-significant increase in COVID-neutralizing antibody (a sign of immunity to SARS-CoV-2) compared to placebo in phase 2a trials conducted in Israel. The vaccine has further shown indications of neutralizing antibody against that Delta variant of the SARS-CoV-2 virus in early human studies and in preclinical studies. Under the MoU, the Company is initiating a phase 2b/3 dose-confirmatory trial of the vaccine against COVID-19 in the nation of Georgia. The IIBR will provide technical assistance for the clinical trial. The clinical trial in Georgia will take place at the same time as the completion of the second phase of clinical trials in Israel.</w:t>
      </w:r>
    </w:p>
    <w:p>
      <w:pPr>
        <w:spacing w:after="0" w:line="81"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If the clinical trials are successful, and subject to the negotiation of definitive licensing agreements with the IIBR, the Company would have an exclusive license to commercialize the vaccine in exchange for agreed upon milestone and royalty payments.</w:t>
      </w:r>
    </w:p>
    <w:p>
      <w:pPr>
        <w:spacing w:after="0" w:line="82" w:lineRule="exact"/>
        <w:rPr>
          <w:sz w:val="20"/>
          <w:szCs w:val="20"/>
          <w:color w:val="auto"/>
        </w:rPr>
      </w:pPr>
    </w:p>
    <w:p>
      <w:pPr>
        <w:jc w:val="both"/>
        <w:ind w:left="40" w:right="39"/>
        <w:spacing w:after="0" w:line="265" w:lineRule="auto"/>
        <w:rPr>
          <w:sz w:val="20"/>
          <w:szCs w:val="20"/>
          <w:color w:val="auto"/>
        </w:rPr>
      </w:pPr>
      <w:r>
        <w:rPr>
          <w:rFonts w:ascii="Times New Roman" w:cs="Times New Roman" w:eastAsia="Times New Roman" w:hAnsi="Times New Roman"/>
          <w:sz w:val="15"/>
          <w:szCs w:val="15"/>
          <w:color w:val="auto"/>
        </w:rPr>
        <w:t>Since inception, NRx Pharmaceuticals has incurred significant operating losses. For the three months ended June 30, 2021 and 2020, NRx Pharmaceuticals, net loss was $117,613 and $102,287, respectively. For the six months ended June 30, 2021 and 2020, NRx Pharmaceuticals’ net loss was $25,606,487 and $1,487,769, respectively. As of June 30, 2021, NRx Pharmaceuticals had an accumulated deficit of $115,786,207.</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COVID-19 Outbreak</w:t>
      </w:r>
    </w:p>
    <w:p>
      <w:pPr>
        <w:spacing w:after="0" w:line="136" w:lineRule="exact"/>
        <w:rPr>
          <w:sz w:val="20"/>
          <w:szCs w:val="20"/>
          <w:color w:val="auto"/>
        </w:rPr>
      </w:pPr>
    </w:p>
    <w:p>
      <w:pPr>
        <w:jc w:val="both"/>
        <w:ind w:left="40" w:right="39"/>
        <w:spacing w:after="0" w:line="253" w:lineRule="auto"/>
        <w:rPr>
          <w:sz w:val="20"/>
          <w:szCs w:val="20"/>
          <w:color w:val="auto"/>
        </w:rPr>
      </w:pPr>
      <w:r>
        <w:rPr>
          <w:rFonts w:ascii="Times New Roman" w:cs="Times New Roman" w:eastAsia="Times New Roman" w:hAnsi="Times New Roman"/>
          <w:sz w:val="15"/>
          <w:szCs w:val="15"/>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 The full impact of the COVID-19 Outbreak continues to evolve as new variants of the virus appear, including the delta variant. As such, NRx Pharmaceuticals cannot estimate the full magnitude, whether positive or negative, that the pandemic will have on NRx Pharmaceuticals’ business. If the COVID-19 Outbreak continues, it may have a material adverse effect on NRx Pharmaceuticals’ financial condition, liquidity, and future results of operations for the year ending December 31, 2020 and beyond. Management is actively monitoring the impact of the global pandemic on its financial condition, liquidity, operations, industry, and workforce. Alternatively, the COVID-19 Outbreak could have a material positive effect on market demand for the COVID-19 targeted therapeutics currently under development by NRx Pharmaceuticals. Given the daily evolution of the COVID-19 Outbreak and the global responses to curb its spread, NRx Pharmaceuticals. is not able to estimate the effects of the COVID-19 Outbreak on its results of operations, financial condition, or liquidity for the year ending December 31, 2021 and beyond. Aside from our COVID-19 related trials, as a result of the COVID-19 Outbreak, most of our other trials have been halted.</w:t>
      </w:r>
    </w:p>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Components of Results of Operations</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34"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General and administrative expenses</w:t>
      </w:r>
    </w:p>
    <w:p>
      <w:pPr>
        <w:spacing w:after="0" w:line="134"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General and administrative expense consists primarily of salaries, stock-based compensation, consultant fees, and professional fees for legal and accounting services.</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Settlement Expense</w:t>
      </w:r>
    </w:p>
    <w:p>
      <w:pPr>
        <w:spacing w:after="0" w:line="122"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Settlement expense consists primarily of settlement expenses related to the GEM Warrant as further discussed under “—Contractual Obligations and Commitments—GEM Share Subscription Facility and Warrant.”</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Reimbursement of expenses from Relief Therapeutics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Reimbursement of expenses from Relief consists primarily of reimbursable expenses as part of the Relief Agreement.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Results of operations for the three months ended June 30, 2021 and 2020</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sets forth NRx Pharmaceuticals’ selected statements of operations data for the following periods: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5"/>
          </w:tcPr>
          <w:p>
            <w:pPr>
              <w:jc w:val="right"/>
              <w:ind w:right="306"/>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
              <w:spacing w:after="0" w:line="115" w:lineRule="exact"/>
              <w:rPr>
                <w:sz w:val="20"/>
                <w:szCs w:val="20"/>
                <w:color w:val="auto"/>
              </w:rPr>
            </w:pPr>
            <w:r>
              <w:rPr>
                <w:rFonts w:ascii="Times New Roman" w:cs="Times New Roman" w:eastAsia="Times New Roman" w:hAnsi="Times New Roman"/>
                <w:sz w:val="12"/>
                <w:szCs w:val="12"/>
                <w:b w:val="1"/>
                <w:bCs w:val="1"/>
                <w:color w:val="auto"/>
                <w:w w:val="99"/>
              </w:rPr>
              <w:t>2021 (As restated)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6"/>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87"/>
              <w:spacing w:after="0" w:line="115" w:lineRule="exact"/>
              <w:rPr>
                <w:sz w:val="20"/>
                <w:szCs w:val="20"/>
                <w:color w:val="auto"/>
              </w:rPr>
            </w:pPr>
            <w:r>
              <w:rPr>
                <w:rFonts w:ascii="Times New Roman" w:cs="Times New Roman" w:eastAsia="Times New Roman" w:hAnsi="Times New Roman"/>
                <w:sz w:val="12"/>
                <w:szCs w:val="12"/>
                <w:b w:val="1"/>
                <w:bCs w:val="1"/>
                <w:color w:val="auto"/>
              </w:rPr>
              <w:t>Dollars</w:t>
            </w:r>
          </w:p>
        </w:tc>
        <w:tc>
          <w:tcPr>
            <w:tcW w:w="140" w:type="dxa"/>
            <w:vAlign w:val="bottom"/>
          </w:tcPr>
          <w:p>
            <w:pPr>
              <w:spacing w:after="0"/>
              <w:rPr>
                <w:sz w:val="10"/>
                <w:szCs w:val="10"/>
                <w:color w:val="auto"/>
              </w:rPr>
            </w:pPr>
          </w:p>
        </w:tc>
        <w:tc>
          <w:tcPr>
            <w:tcW w:w="74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tcPr>
          <w:p>
            <w:pPr>
              <w:jc w:val="right"/>
              <w:ind w:right="60"/>
              <w:spacing w:after="0" w:line="104"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Research and development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4,659,280</w:t>
            </w:r>
          </w:p>
        </w:tc>
        <w:tc>
          <w:tcPr>
            <w:tcW w:w="140" w:type="dxa"/>
            <w:vAlign w:val="bottom"/>
          </w:tcPr>
          <w:p>
            <w:pPr>
              <w:spacing w:after="0"/>
              <w:rPr>
                <w:sz w:val="15"/>
                <w:szCs w:val="15"/>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1,390,376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3,268,904</w:t>
            </w:r>
          </w:p>
        </w:tc>
        <w:tc>
          <w:tcPr>
            <w:tcW w:w="140" w:type="dxa"/>
            <w:vAlign w:val="bottom"/>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235 %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12,457,534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525,736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11,931,798</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Reimbursement of expenses from Relief Therapeutics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(2,020,931)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2,020,931</w:t>
            </w:r>
          </w:p>
        </w:tc>
        <w:tc>
          <w:tcPr>
            <w:tcW w:w="140" w:type="dxa"/>
            <w:vAlign w:val="bottom"/>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17,116,814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(104,819)</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17,221,633</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Loss from operations</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(17,221,633)</w:t>
            </w:r>
          </w:p>
        </w:tc>
        <w:tc>
          <w:tcPr>
            <w:tcW w:w="140" w:type="dxa"/>
            <w:vAlign w:val="bottom"/>
          </w:tcPr>
          <w:p>
            <w:pPr>
              <w:spacing w:after="0" w:line="20" w:lineRule="exact"/>
              <w:rPr>
                <w:sz w:val="1"/>
                <w:szCs w:val="1"/>
                <w:color w:val="auto"/>
              </w:rPr>
            </w:pP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(16,430)%</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(17,116,814)</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104,819</w:t>
            </w:r>
          </w:p>
        </w:tc>
        <w:tc>
          <w:tcPr>
            <w:tcW w:w="340" w:type="dxa"/>
            <w:vAlign w:val="bottom"/>
            <w:tcBorders>
              <w:bottom w:val="single" w:sz="8" w:color="CCEEFF"/>
            </w:tcBorders>
            <w:gridSpan w:val="2"/>
            <w:vMerge w:val="continue"/>
          </w:tcPr>
          <w:p>
            <w:pPr>
              <w:spacing w:after="0"/>
              <w:rPr>
                <w:sz w:val="16"/>
                <w:szCs w:val="16"/>
                <w:color w:val="auto"/>
              </w:rPr>
            </w:pPr>
          </w:p>
        </w:tc>
        <w:tc>
          <w:tcPr>
            <w:tcW w:w="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8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Interest expense</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2,575</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(17,359,009)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(17,359,009)</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Change in fair value of Earnout Cash liability</w:t>
            </w:r>
          </w:p>
        </w:tc>
        <w:tc>
          <w:tcPr>
            <w:tcW w:w="5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354,701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354,701</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Total other (income) expenses</w:t>
            </w: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(16,999,201)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2,532</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(17,001,733)</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(671,474)%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shd w:val="clear" w:color="auto" w:fill="CCEEFF"/>
          </w:tcPr>
          <w:p>
            <w:pPr>
              <w:ind w:left="160"/>
              <w:spacing w:after="0" w:line="154" w:lineRule="exact"/>
              <w:rPr>
                <w:sz w:val="20"/>
                <w:szCs w:val="20"/>
                <w:color w:val="auto"/>
              </w:rPr>
            </w:pPr>
            <w:r>
              <w:rPr>
                <w:rFonts w:ascii="Times New Roman" w:cs="Times New Roman" w:eastAsia="Times New Roman" w:hAnsi="Times New Roman"/>
                <w:sz w:val="15"/>
                <w:szCs w:val="15"/>
                <w:color w:val="auto"/>
              </w:rPr>
              <w:t>Loss before tax</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(117,613)</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102,287</w:t>
            </w:r>
          </w:p>
        </w:tc>
        <w:tc>
          <w:tcPr>
            <w:tcW w:w="340" w:type="dxa"/>
            <w:vAlign w:val="bottom"/>
            <w:gridSpan w:val="2"/>
            <w:shd w:val="clear" w:color="auto" w:fill="CCEEFF"/>
          </w:tcPr>
          <w:p>
            <w:pPr>
              <w:jc w:val="right"/>
              <w:ind w:right="120"/>
              <w:spacing w:after="0" w:line="154"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(219,900)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(215)</w:t>
            </w:r>
          </w:p>
        </w:tc>
        <w:tc>
          <w:tcPr>
            <w:tcW w:w="20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(117,613)</w:t>
            </w:r>
          </w:p>
        </w:tc>
        <w:tc>
          <w:tcPr>
            <w:tcW w:w="140" w:type="dxa"/>
            <w:vAlign w:val="bottom"/>
          </w:tcPr>
          <w:p>
            <w:pPr>
              <w:spacing w:after="0"/>
              <w:rPr>
                <w:sz w:val="15"/>
                <w:szCs w:val="15"/>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102,287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(219,900)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3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For the three months ended June 30, 2021, NRx Pharmaceuticals recorded $4,659,280 of research and development expenses compared to $1,390,376 for the three months ended June 30, 2020. The increase of $3,268,904 related primarily to an increase of $2,907,887 in clinical trials and development expenses related to ZYESAMI (aviptadil), an increase of $361,017 in other research and development expenses, which includes an increase of $146,196 in stock-based compensation expense and an increase of $247,787 in regulatory consultants expense.</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General and administrative expenses</w:t>
      </w:r>
    </w:p>
    <w:p>
      <w:pPr>
        <w:spacing w:after="0" w:line="122"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For the three months ended June 30, 2021, NRx Pharmaceuticals recorded $12,457,534 of general and administrative expenses compared to $525,736 for the three months ended June 30, 2020. The increase of $11,931,798 related primarily to $5,474,283 of consultant fees of which $4,850,000 relates to non-cash consulting fees paid to EBC in common stock, $4,043,668 in stock compensation expense of which $3,345,212 relates to modification of stock options and warrants pursuant to the Merger, $710,381 of insurance expenses, $501,782 of payroll expenses, and $185,951 in other general and administrative expenses, partially offset by decrease of $1,015,733 in legal and professional fees.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Reimbursement of expenses from Relief Therapeutics</w:t>
      </w:r>
    </w:p>
    <w:p>
      <w:pPr>
        <w:spacing w:after="0" w:line="134"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For the three months ended June 30, 2021, NRx Pharmaceuticals recorded $0 of reimbursement of expenses from Relief compared to $2,020,931 of reimbursement of expenses from Relief for the three months ended June 30, 2020.</w:t>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(income) expenses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134" w:lineRule="exact"/>
        <w:rPr>
          <w:sz w:val="20"/>
          <w:szCs w:val="20"/>
          <w:color w:val="auto"/>
        </w:rPr>
      </w:pPr>
    </w:p>
    <w:p>
      <w:pPr>
        <w:jc w:val="both"/>
        <w:ind w:left="40" w:right="39"/>
        <w:spacing w:after="0" w:line="280" w:lineRule="auto"/>
        <w:rPr>
          <w:sz w:val="20"/>
          <w:szCs w:val="20"/>
          <w:color w:val="auto"/>
        </w:rPr>
      </w:pPr>
      <w:r>
        <w:rPr>
          <w:rFonts w:ascii="Times New Roman" w:cs="Times New Roman" w:eastAsia="Times New Roman" w:hAnsi="Times New Roman"/>
          <w:sz w:val="15"/>
          <w:szCs w:val="15"/>
          <w:color w:val="auto"/>
        </w:rPr>
        <w:t>For the three months ended June 30, 2021, NRx Pharmaceuticals recorded $5,107 of interest expense compared to $2,532 for the three months ended June 30, 2020. The increase of $2,575 related primarily to the accrued interest for outstanding notes during the period.</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Change in fair value of warrant liabilities</w:t>
      </w:r>
    </w:p>
    <w:p>
      <w:pPr>
        <w:spacing w:after="0" w:line="134"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For the three months ended June 30, 2021, NRx Pharmaceuticals recorded a gain of $17,359,009 related to the change in fair value of the warrant liabilities compared to $0 for the three months ended June 30, 2020. The increase of $17,359,009</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related to the decrease in the fair value of certain Substitute Warrants and the Placement Warrants assumed pursuant to the Merger Agreement.</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Change in fair value of Earnout Cash liability</w:t>
      </w:r>
    </w:p>
    <w:p>
      <w:pPr>
        <w:spacing w:after="0" w:line="134"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For the three months ended June 30, 2021, NRx Pharmaceuticals recorded a loss of $354,701 related to the change in fair value of the earnout cash liability compared to $0 for the three months ended June 30, 2020. The increase of $354,701 related to the increase in the fair value of the earnout cash liability pursuant to the Merger Agreement.</w:t>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Results of operations for the six months ended June 30, 2021 and 2020</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sets forth NRx Pharmaceuticals' selected statements of operations data for the following periods: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5"/>
          </w:tcPr>
          <w:p>
            <w:pPr>
              <w:jc w:val="right"/>
              <w:ind w:right="386"/>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7"/>
              <w:spacing w:after="0" w:line="115" w:lineRule="exact"/>
              <w:rPr>
                <w:sz w:val="20"/>
                <w:szCs w:val="20"/>
                <w:color w:val="auto"/>
              </w:rPr>
            </w:pPr>
            <w:r>
              <w:rPr>
                <w:rFonts w:ascii="Times New Roman" w:cs="Times New Roman" w:eastAsia="Times New Roman" w:hAnsi="Times New Roman"/>
                <w:sz w:val="12"/>
                <w:szCs w:val="12"/>
                <w:b w:val="1"/>
                <w:bCs w:val="1"/>
                <w:color w:val="auto"/>
                <w:w w:val="99"/>
              </w:rPr>
              <w:t>2021 (As restated)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6"/>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07"/>
              <w:spacing w:after="0" w:line="115" w:lineRule="exact"/>
              <w:rPr>
                <w:sz w:val="20"/>
                <w:szCs w:val="20"/>
                <w:color w:val="auto"/>
              </w:rPr>
            </w:pPr>
            <w:r>
              <w:rPr>
                <w:rFonts w:ascii="Times New Roman" w:cs="Times New Roman" w:eastAsia="Times New Roman" w:hAnsi="Times New Roman"/>
                <w:sz w:val="12"/>
                <w:szCs w:val="12"/>
                <w:b w:val="1"/>
                <w:bCs w:val="1"/>
                <w:color w:val="auto"/>
              </w:rPr>
              <w:t>Dollars</w:t>
            </w:r>
          </w:p>
        </w:tc>
        <w:tc>
          <w:tcPr>
            <w:tcW w:w="14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tcPr>
          <w:p>
            <w:pPr>
              <w:jc w:val="right"/>
              <w:ind w:right="6"/>
              <w:spacing w:after="0" w:line="104"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Research and development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7,567,984</w:t>
            </w:r>
          </w:p>
        </w:tc>
        <w:tc>
          <w:tcPr>
            <w:tcW w:w="140" w:type="dxa"/>
            <w:vAlign w:val="bottom"/>
          </w:tcPr>
          <w:p>
            <w:pPr>
              <w:spacing w:after="0"/>
              <w:rPr>
                <w:sz w:val="15"/>
                <w:szCs w:val="15"/>
                <w:color w:val="auto"/>
              </w:rPr>
            </w:pPr>
          </w:p>
        </w:tc>
        <w:tc>
          <w:tcPr>
            <w:tcW w:w="22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1,994,709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5,573,275</w:t>
            </w:r>
          </w:p>
        </w:tc>
        <w:tc>
          <w:tcPr>
            <w:tcW w:w="140" w:type="dxa"/>
            <w:vAlign w:val="bottom"/>
          </w:tcPr>
          <w:p>
            <w:pPr>
              <w:spacing w:after="0"/>
              <w:rPr>
                <w:sz w:val="15"/>
                <w:szCs w:val="15"/>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279 %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14,558,936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1,141,390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13,417,546</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Settlement expense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21,365,641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21,365,641</w:t>
            </w:r>
          </w:p>
        </w:tc>
        <w:tc>
          <w:tcPr>
            <w:tcW w:w="140" w:type="dxa"/>
            <w:vAlign w:val="bottom"/>
          </w:tcPr>
          <w:p>
            <w:pPr>
              <w:spacing w:after="0"/>
              <w:rPr>
                <w:sz w:val="15"/>
                <w:szCs w:val="15"/>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Reimbursement of expenses from Relief Therapeutics</w:t>
            </w:r>
          </w:p>
        </w:tc>
        <w:tc>
          <w:tcPr>
            <w:tcW w:w="5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(771,244)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(2,020,931)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1,249,687</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42,721,317</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1,115,168</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41,606,149</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3,731</w:t>
            </w:r>
          </w:p>
        </w:tc>
        <w:tc>
          <w:tcPr>
            <w:tcW w:w="2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Loss from operations</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(42,721,317)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(1,115,168)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(41,606,149)</w:t>
            </w:r>
          </w:p>
        </w:tc>
        <w:tc>
          <w:tcPr>
            <w:tcW w:w="1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(3,731)%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expenses:</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(120,810)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120,810</w:t>
            </w:r>
          </w:p>
        </w:tc>
        <w:tc>
          <w:tcPr>
            <w:tcW w:w="140" w:type="dxa"/>
            <w:vAlign w:val="bottom"/>
          </w:tcPr>
          <w:p>
            <w:pPr>
              <w:spacing w:after="0"/>
              <w:rPr>
                <w:sz w:val="15"/>
                <w:szCs w:val="15"/>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Interest expense</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38,800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(28,512)</w:t>
            </w: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(17,359,009)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(17,359,009)</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Change in fair value of Earnout Cash liability</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354,701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354,701</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Change in fair value of embedded put</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27,160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(27,160)</w:t>
            </w:r>
          </w:p>
        </w:tc>
        <w:tc>
          <w:tcPr>
            <w:tcW w:w="140" w:type="dxa"/>
            <w:vAlign w:val="bottom"/>
          </w:tcPr>
          <w:p>
            <w:pPr>
              <w:spacing w:after="0"/>
              <w:rPr>
                <w:sz w:val="15"/>
                <w:szCs w:val="15"/>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Loss on conversion of convertible notes payable</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306,641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(306,641)</w:t>
            </w: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Total other (income) expenses</w:t>
            </w:r>
          </w:p>
        </w:tc>
        <w:tc>
          <w:tcPr>
            <w:tcW w:w="5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(17,114,830)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372,601</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(17,487,431)</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(4,693)</w:t>
            </w:r>
          </w:p>
        </w:tc>
        <w:tc>
          <w:tcPr>
            <w:tcW w:w="2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Loss before tax</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(25,606,487)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(1,487,769)</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(24,118,718)</w:t>
            </w:r>
          </w:p>
        </w:tc>
        <w:tc>
          <w:tcPr>
            <w:tcW w:w="1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(1,621)%</w:t>
            </w:r>
          </w:p>
        </w:tc>
        <w:tc>
          <w:tcPr>
            <w:tcW w:w="0" w:type="dxa"/>
            <w:vAlign w:val="bottom"/>
          </w:tcPr>
          <w:p>
            <w:pPr>
              <w:spacing w:after="0"/>
              <w:rPr>
                <w:sz w:val="1"/>
                <w:szCs w:val="1"/>
                <w:color w:val="auto"/>
              </w:rPr>
            </w:pPr>
          </w:p>
        </w:tc>
      </w:tr>
      <w:tr>
        <w:trPr>
          <w:trHeight w:val="172"/>
        </w:trPr>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5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(25,606,487)</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(1,487,769)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(24,118,718)</w:t>
            </w:r>
          </w:p>
        </w:tc>
        <w:tc>
          <w:tcPr>
            <w:tcW w:w="14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2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$7,567,984 of research and development expenses compared to $1,994,709 for the six months ended June 30, 2020. The increase of $5,573,275 related primarily to an increase of $4,569,807 in clinical trials and development expenses related to ZYESAMI (aviptadil) and an increase of $1,003,469 in other research and development expenses, which includes an increase of $608,266 in regulatory consultants expense and an increase of $151,645 in stock-based compensation expense.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General and administrative expenses</w:t>
      </w:r>
    </w:p>
    <w:p>
      <w:pPr>
        <w:spacing w:after="0" w:line="134"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$14,558,936 of general and administrative expenses compared to $1,141,390 for the six months ended June 30, 2020. The increase of $13,417,546 related primarily to increases of $5,922,383 for consultant fees of which $4,850,000 relates to non-cash consulting fees paid to EBC in common stock, $4,321,114 in stock-based compensation expense of which $3,345,212 relates to modification of stock options and warrants pursuant to the Merger, $830,368 for payroll expenses, $772,343 of insurance expenses, and $282,849 in other general and administrative expenses, partially offset by a decrease of $1,288,490 in legal and professional fees,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Settlement expense</w:t>
      </w:r>
    </w:p>
    <w:p>
      <w:pPr>
        <w:spacing w:after="0" w:line="122" w:lineRule="exact"/>
        <w:rPr>
          <w:sz w:val="20"/>
          <w:szCs w:val="20"/>
          <w:color w:val="auto"/>
        </w:rPr>
      </w:pPr>
    </w:p>
    <w:p>
      <w:pPr>
        <w:jc w:val="both"/>
        <w:ind w:left="40" w:right="39"/>
        <w:spacing w:after="0" w:line="280"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$21,365,641 of settlement expense related to the GEM Warrant reflecting the incremental value through the date of issuance compared to $0 of settlement expense for the six months ended June 30, 2020.</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Reimbursement of expenses from Relief Therapeutics</w:t>
      </w:r>
    </w:p>
    <w:p>
      <w:pPr>
        <w:spacing w:after="0" w:line="134"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$771,244 of reimbursement of expenses from Relief compared to $2,020,931 of reimbursement of expenses from Relief for the six months ended June 30, 2020. NRx Pharmaceuticals has received $10,904,065 in total from Relief in accordance with the Relief Agreement.</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Gain on extinguishment of debt</w:t>
      </w:r>
    </w:p>
    <w:p>
      <w:pPr>
        <w:spacing w:after="0" w:line="134"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$120,810 of gain on extinguishment of debt compared to $0 for the six months ended June 30, 2020. The increase of $120,810 related to the forgiveness of the PPP Loan which resulted in a gain on extinguishment for the outstanding principal and accrued and unpaid interest.</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122"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$10,288 of interest expense compared to $38,800 for the six months ended June 30, 2020. The decrease of $28,512 related primarily to the conversion of convertible notes payable in 2020.</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Change in fair value of warrant liabilities</w:t>
      </w:r>
    </w:p>
    <w:p>
      <w:pPr>
        <w:spacing w:after="0" w:line="134" w:lineRule="exact"/>
        <w:rPr>
          <w:sz w:val="20"/>
          <w:szCs w:val="20"/>
          <w:color w:val="auto"/>
        </w:rPr>
      </w:pPr>
    </w:p>
    <w:p>
      <w:pPr>
        <w:jc w:val="both"/>
        <w:ind w:left="40" w:right="39"/>
        <w:spacing w:after="0" w:line="265"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a gain of $17,359,009 related to the change in fair value of the warrant liabilities compared to $0 for the six months ended June 30, 2020. The increase of $17,359,009 related to the decrease in the fair value of certain Substitute Warrants and the Placement Warrants assumed pursuant to the Merger Agreement.</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Change in fair value of Earnout Cash liability</w:t>
      </w:r>
    </w:p>
    <w:p>
      <w:pPr>
        <w:spacing w:after="0" w:line="12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other expense of $354,701 of change in fair value of the earnout cash liability compared to $0 for the six months ended June 30, 2020. The increase of $354,701 related to the increase in the fair value of the Earnout Cash liability pursuant to the Merger Agreement.</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Change in fair value of embedded put</w:t>
      </w:r>
    </w:p>
    <w:p>
      <w:pPr>
        <w:spacing w:after="0" w:line="134"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$0 of change in fair value of embedded put compared to $27,160 for the six months ended June 30, 2020. The decrease of $27,160 related primarily to the conversion of convertible notes payable in 2020.</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Loss on conversion of convertible notes payable</w:t>
      </w:r>
    </w:p>
    <w:p>
      <w:pPr>
        <w:spacing w:after="0" w:line="134"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For the six months ended June 30, 2021, NRx Pharmaceuticals recorded $0 of loss on conversion of convertible notes payable compared to $306,641 for the six months ended June 30, 2020. The decrease of $306,641 related to the loss on extinguishment which was recorded upon the conversion of the convertible notes payable in 2020 for the difference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between the carrying value of the convertible notes, unamortized debt discount, and the fair value of the embedded put option, and the fair value of common shares issued.</w:t>
      </w:r>
    </w:p>
    <w:p>
      <w:pPr>
        <w:ind w:left="4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1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5"/>
          <w:szCs w:val="15"/>
          <w:color w:val="auto"/>
        </w:rPr>
        <w:t>NRx Pharmaceuticals has generated no revenues, has incurred operating losses since inception, and expects to continue to incur significant operating losses for the foreseeable future and may never become profitable. From the inception of the ZYESAMI drug development program NRx Pharmaceuticals had funded all operating expenses related to the US development of ZYESAMI and the portion of corporate overhead attributable to that program from the Relief Agreement. The proceeds recorded as “Reimbursement of expenses from Relief Therapeutics” amounted to $771,244 for the six months ended June 30, 2021.</w:t>
      </w:r>
    </w:p>
    <w:p>
      <w:pPr>
        <w:spacing w:after="0" w:line="9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color w:val="auto"/>
        </w:rPr>
        <w:t>Pursuant to the Relief Agreement, NRx Pharmaceuticals is responsible for not exceeding the Relief Product trial budget of $8.3 million by more than 30% (approximately $10.7 million) for the original sample size of 144 participants (the “</w:t>
      </w:r>
      <w:r>
        <w:rPr>
          <w:rFonts w:ascii="Times New Roman" w:cs="Times New Roman" w:eastAsia="Times New Roman" w:hAnsi="Times New Roman"/>
          <w:sz w:val="15"/>
          <w:szCs w:val="15"/>
          <w:u w:val="single" w:color="auto"/>
          <w:color w:val="auto"/>
        </w:rPr>
        <w:t>Initial Budget</w:t>
      </w:r>
      <w:r>
        <w:rPr>
          <w:rFonts w:ascii="Times New Roman" w:cs="Times New Roman" w:eastAsia="Times New Roman" w:hAnsi="Times New Roman"/>
          <w:sz w:val="15"/>
          <w:szCs w:val="15"/>
          <w:color w:val="auto"/>
        </w:rPr>
        <w:t>”). In October 2020, the study’s Data Safety Monitoring Board and statistical consultant advised NRx Pharmaceuticals to increase the size of the study to at least 200 participants, resulting in an additional $4 million in potential study costs. The Relief Agreement states that costs of drug formulation, manufacture, CMC, stability, etc., are not included within the Initial Budget, however, Relief is required to fund the costs of formulation, stability, and manufacturing at MedisourceRx, Bachem, and Nephron Pharmaceuticals.</w:t>
      </w:r>
    </w:p>
    <w:p>
      <w:pPr>
        <w:spacing w:after="0" w:line="9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5"/>
          <w:szCs w:val="15"/>
          <w:color w:val="auto"/>
        </w:rPr>
        <w:t>The Relief Agreement states that in the event Relief does not approve additional overages to the Initial Budget, NRx Pharmaceuticals shall be free to bring in other parties in order to complete the aviptadil study. The Relief Agreement further provides for Relief to fund the costs associated with the clinical development of the inhaled Relief Product in the United States in reliance upon NRx Pharmaceuticals' agreement to conduct, manage, supervise and oversee its clinical development. Should Relief not fund the costs associated with the clinical development of the inhaled Relief Product in the United States, then NRx Pharmaceuticals shall have the freedom to bring a replacement investor.</w:t>
      </w:r>
    </w:p>
    <w:p>
      <w:pPr>
        <w:spacing w:after="0" w:line="98"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Relief has declined to pay approximately $6 million in invoiced costs associated with conduct of the IV trial, reformulation, and manufacture of ZYESAMI incurred subsequent to December 31, 2020. Relief has additionally declined to fund the costs of the inhaled ZYESAMI product. NRx Pharmaceuticals has initiated the inhaled use clinical trial with other capital.</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Reverse Recapitalization Merger</w:t>
      </w:r>
    </w:p>
    <w:p>
      <w:pPr>
        <w:spacing w:after="0" w:line="122" w:lineRule="exact"/>
        <w:rPr>
          <w:sz w:val="20"/>
          <w:szCs w:val="20"/>
          <w:color w:val="auto"/>
        </w:rPr>
      </w:pPr>
    </w:p>
    <w:p>
      <w:pPr>
        <w:jc w:val="both"/>
        <w:ind w:left="40" w:right="39"/>
        <w:spacing w:after="0" w:line="233" w:lineRule="auto"/>
        <w:rPr>
          <w:sz w:val="20"/>
          <w:szCs w:val="20"/>
          <w:color w:val="auto"/>
        </w:rPr>
      </w:pPr>
      <w:r>
        <w:rPr>
          <w:rFonts w:ascii="Times New Roman" w:cs="Times New Roman" w:eastAsia="Times New Roman" w:hAnsi="Times New Roman"/>
          <w:sz w:val="15"/>
          <w:szCs w:val="15"/>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if, prior to December 31, 2022, the NeuroRx COVID-19 Drug (i.e.,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receives emergency use authorization by the Food and Drug Administration (“FDA”) and NeuroRx submits and the FDA files for review a new drug application for the NeuroRx COVID-19 Drug (i.e.,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(the occurrence of the foregoing, the “Earnout Shares Milestone”), and (ii) an aggregate of $100,000,000 in cash (“Earnout Cash”) upon the earlier to occur of (x) FDA approval of the NeuroRx COVID-19 Drug (i.e., ZYESAMI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 and the listing of the NeuroRx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At June 30, 2021, the fair value of the Earnout Cash liability has been estimated to be $25,874,896. Upon closing of the Merger, the estimated fair value of the Earnout Shares was $255,822,071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 The benefit of the contingent right to receive Earnout Cash for option and warrant holders occurs through the Option Exchange Ratio and therefore the amount of Earnout Cash for common stockholders is approximately $88,837,121.</w:t>
      </w:r>
    </w:p>
    <w:p>
      <w:pPr>
        <w:spacing w:after="0" w:line="120"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In connection with the Merger, a number of subscribers (each, a “Subscriber”) purchased from the Company an aggregate of 1,000,000 shares of Common Stock (the “PIPE”), for a purchase price of $10.00 per share and an aggregate purchase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price of $10,000,000 (the “PIPE Shares”), pursuant to separate subscription agreements (each, a “Subscription Agreement”) entered into prior to the Closing Date. The Company received $8,100,000 in net proceeds after transaction costs.</w:t>
      </w:r>
    </w:p>
    <w:p>
      <w:pPr>
        <w:spacing w:after="0" w:line="8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NRx Pharmaceuticals expects to continue to incur operating losses and net cash outflows until such time as it generates a level of revenue from sale or licensing of drug products to support its cost structure. There is no assurance that NRx Pharmaceuticals will achieve profitable operations and if achieved, whether it will be sustained on a continued basis.</w:t>
      </w:r>
    </w:p>
    <w:p>
      <w:pPr>
        <w:spacing w:after="0" w:line="93"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NRx Pharmaceuticals intends to fund ongoing activities by raising additional capital through equity or debt financings. There can be no assurance that NRX will be successful in raising that additional capital or that such capital, if available, will be on terms that are acceptable to NRx Pharmaceuticals. If NRx Pharmaceuticals is unable to raise sufficient additional capital, NRx Pharmaceuticals may be compelled to reduce the scope of its operations and planned capital expenditures.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Prior to the Merger, the Company sold 62,366 shares of common stock during the three months ended June 30, 2021 and received gross proceeds of</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$1,436,274. The Company sold 398,647 shares of common stock during the six months ended June 30, 2021 and received gross proceeds of</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$8,363,132. In addition, 1,496,216 warrants were exercised generating gross proceeds of $7,500,018.</w:t>
      </w:r>
    </w:p>
    <w:p>
      <w:pPr>
        <w:spacing w:after="0" w:line="118"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Subsequent to June 30, 2021, NRx Pharmaceuticals received $9,186,316 from the exercise of the GEM Warrant for the purchase of 1,833,596 shares. NRx Pharmaceuticals’ research programs beyond 2021 would require additional funding either from sales of product or from external investment.</w:t>
      </w:r>
    </w:p>
    <w:p>
      <w:pPr>
        <w:spacing w:after="0" w:line="93"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Until such time as NRx Pharmaceuticals is able to establish a revenue stream from the sale of its therapeutic products, NRx Pharmaceuticals is dependent upon obtaining necessary equity and/or debt financing to continue operations. NRx Pharmaceuticals cannot make any assurances that sales of ZYESAMI will commence in 2021 or that additional financings will be available to it and, if available, on acceptable terms or at all. This could negatively impact NRx Pharmaceuticals' business and operations and could also lead to the reduction of NRx Pharmaceuticals' operations.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Cash Flow Summary for the six months ended June 30, 2021 and 2020</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shows a summary of NRx Pharmaceuticals' cash flows for each of the periods shown below:</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4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15"/>
        </w:trPr>
        <w:tc>
          <w:tcPr>
            <w:tcW w:w="45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1"/>
              <w:spacing w:after="0" w:line="115" w:lineRule="exact"/>
              <w:rPr>
                <w:sz w:val="20"/>
                <w:szCs w:val="20"/>
                <w:color w:val="auto"/>
              </w:rPr>
            </w:pPr>
            <w:r>
              <w:rPr>
                <w:rFonts w:ascii="Times New Roman" w:cs="Times New Roman" w:eastAsia="Times New Roman" w:hAnsi="Times New Roman"/>
                <w:sz w:val="12"/>
                <w:szCs w:val="12"/>
                <w:b w:val="1"/>
                <w:bCs w:val="1"/>
                <w:color w:val="auto"/>
                <w:w w:val="99"/>
              </w:rPr>
              <w:t>2021 (As restated)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48"/>
              <w:spacing w:after="0" w:line="115" w:lineRule="exact"/>
              <w:rPr>
                <w:sz w:val="20"/>
                <w:szCs w:val="20"/>
                <w:color w:val="auto"/>
              </w:rPr>
            </w:pPr>
            <w:r>
              <w:rPr>
                <w:rFonts w:ascii="Times New Roman" w:cs="Times New Roman" w:eastAsia="Times New Roman" w:hAnsi="Times New Roman"/>
                <w:sz w:val="12"/>
                <w:szCs w:val="12"/>
                <w:b w:val="1"/>
                <w:bCs w:val="1"/>
                <w:color w:val="auto"/>
              </w:rPr>
              <w:t>2020</w:t>
            </w:r>
          </w:p>
        </w:tc>
      </w:tr>
      <w:tr>
        <w:trPr>
          <w:trHeight w:val="104"/>
        </w:trPr>
        <w:tc>
          <w:tcPr>
            <w:tcW w:w="45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tcPr>
          <w:p>
            <w:pPr>
              <w:jc w:val="right"/>
              <w:ind w:right="93"/>
              <w:spacing w:after="0" w:line="104"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760" w:type="dxa"/>
            <w:vAlign w:val="bottom"/>
          </w:tcPr>
          <w:p>
            <w:pPr>
              <w:spacing w:after="0"/>
              <w:rPr>
                <w:sz w:val="9"/>
                <w:szCs w:val="9"/>
                <w:color w:val="auto"/>
              </w:rPr>
            </w:pPr>
          </w:p>
        </w:tc>
      </w:tr>
      <w:tr>
        <w:trPr>
          <w:trHeight w:val="18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(14,408,126)</w:t>
            </w:r>
          </w:p>
        </w:tc>
        <w:tc>
          <w:tcPr>
            <w:tcW w:w="1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(728,272)</w:t>
            </w:r>
          </w:p>
        </w:tc>
      </w:tr>
      <w:tr>
        <w:trPr>
          <w:trHeight w:val="180"/>
        </w:trPr>
        <w:tc>
          <w:tcPr>
            <w:tcW w:w="452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0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25,938,728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846,836</w:t>
            </w:r>
          </w:p>
        </w:tc>
      </w:tr>
      <w:tr>
        <w:trPr>
          <w:trHeight w:val="172"/>
        </w:trPr>
        <w:tc>
          <w:tcPr>
            <w:tcW w:w="45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increase (decrease) in cash</w:t>
            </w:r>
          </w:p>
        </w:tc>
        <w:tc>
          <w:tcPr>
            <w:tcW w:w="20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11,527,819</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118,564</w:t>
            </w:r>
          </w:p>
        </w:tc>
      </w:tr>
      <w:tr>
        <w:trPr>
          <w:trHeight w:val="20"/>
        </w:trPr>
        <w:tc>
          <w:tcPr>
            <w:tcW w:w="4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Operating activities</w:t>
      </w:r>
    </w:p>
    <w:p>
      <w:pPr>
        <w:spacing w:after="0" w:line="134"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During the six months ended June 30, 2021, operating activities used $14,408,126 of cash, primarily resulting from a net loss of $25,606,487, reduced by non-cash charges of $8,906,806, including $21,365,641 of non-cash settlement expense related to the GEM Warrant, $4,655,028 of stock-based compensation expense, $354,701 of change in fair value of earnout cash liability, partially offset by $120,810 of gain on the extinguishment of debt, and $17,359,009 of gain from the change in fair value of warrant liabilities; and a decrease in operating assets and liabilities of $2,558,445.</w:t>
      </w:r>
    </w:p>
    <w:p>
      <w:pPr>
        <w:spacing w:after="0" w:line="98" w:lineRule="exact"/>
        <w:rPr>
          <w:sz w:val="20"/>
          <w:szCs w:val="20"/>
          <w:color w:val="auto"/>
        </w:rPr>
      </w:pPr>
    </w:p>
    <w:p>
      <w:pPr>
        <w:jc w:val="both"/>
        <w:ind w:left="40" w:right="39"/>
        <w:spacing w:after="0" w:line="265" w:lineRule="auto"/>
        <w:rPr>
          <w:sz w:val="20"/>
          <w:szCs w:val="20"/>
          <w:color w:val="auto"/>
        </w:rPr>
      </w:pPr>
      <w:r>
        <w:rPr>
          <w:rFonts w:ascii="Times New Roman" w:cs="Times New Roman" w:eastAsia="Times New Roman" w:hAnsi="Times New Roman"/>
          <w:sz w:val="15"/>
          <w:szCs w:val="15"/>
          <w:color w:val="auto"/>
        </w:rPr>
        <w:t>During the six months ended June 30, 2020, operating activities used $728,272 of cash, primarily resulting from a net loss of $1,487,769, partially reduced by non-cash charges of $559,516, including $306,641 of loss on conversion of notes payable, $26,992 of non-cash interest expense, $182,269 of stock-based compensation expense, and $16,454 of amortization of debt discount.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Investing activities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During the six months ended June 30, 2021, investing activities used $2,783 of cash, primarily resulting from the purchase of computer equipment.</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There were no investing activities for the six months ended June 30, 2020.</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Financing activities</w:t>
      </w:r>
    </w:p>
    <w:p>
      <w:pPr>
        <w:spacing w:after="0" w:line="134" w:lineRule="exact"/>
        <w:rPr>
          <w:sz w:val="20"/>
          <w:szCs w:val="20"/>
          <w:color w:val="auto"/>
        </w:rPr>
      </w:pPr>
    </w:p>
    <w:p>
      <w:pPr>
        <w:jc w:val="both"/>
        <w:ind w:left="40" w:right="39"/>
        <w:spacing w:after="0" w:line="265" w:lineRule="auto"/>
        <w:rPr>
          <w:sz w:val="20"/>
          <w:szCs w:val="20"/>
          <w:color w:val="auto"/>
        </w:rPr>
      </w:pPr>
      <w:r>
        <w:rPr>
          <w:rFonts w:ascii="Times New Roman" w:cs="Times New Roman" w:eastAsia="Times New Roman" w:hAnsi="Times New Roman"/>
          <w:sz w:val="15"/>
          <w:szCs w:val="15"/>
          <w:color w:val="auto"/>
        </w:rPr>
        <w:t>During the six months ended June 30, 2021, financing activities provided $25,938,728 of cash, primarily resulting from $8,489,082 from the issuance of shares of NRx Pharmaceuticals common stock, $7,500,018 of the issuance of common stock for the partial exercise of the GEM Warrant, and $11,049,628 for the effect of the Merger, net of transaction costs, partially offset by a $1,100,000 repayment of notes payable.</w:t>
      </w:r>
    </w:p>
    <w:p>
      <w:pPr>
        <w:spacing w:after="0" w:line="93"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During the six months ended June 30, 2020, financing activities provided $846,836 of cash, primarily resulting from $619,842 of proceeds from notes payable and $226,994 of proceeds from the issuance of shares of NRx Pharmaceuticals common stock.</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Contractual Obligations and Commitments</w:t>
      </w:r>
    </w:p>
    <w:p>
      <w:pPr>
        <w:spacing w:after="0" w:line="136" w:lineRule="exact"/>
        <w:rPr>
          <w:sz w:val="20"/>
          <w:szCs w:val="20"/>
          <w:color w:val="auto"/>
        </w:rPr>
      </w:pPr>
    </w:p>
    <w:p>
      <w:pPr>
        <w:jc w:val="both"/>
        <w:ind w:left="40" w:right="39"/>
        <w:spacing w:after="0" w:line="265" w:lineRule="auto"/>
        <w:rPr>
          <w:sz w:val="20"/>
          <w:szCs w:val="20"/>
          <w:color w:val="auto"/>
        </w:rPr>
      </w:pPr>
      <w:r>
        <w:rPr>
          <w:rFonts w:ascii="Times New Roman" w:cs="Times New Roman" w:eastAsia="Times New Roman" w:hAnsi="Times New Roman"/>
          <w:sz w:val="15"/>
          <w:szCs w:val="15"/>
          <w:color w:val="auto"/>
        </w:rPr>
        <w:t>See Note 9, Commitments and Contingencies, of the notes to NRx Pharmaceuticals’ unaudited condensed consolidated financial statements for the three months ended and six months ended June 30, 2021 included elsewhere in this report for further discussion of NRx Pharmaceuticals' commitments and contingencies.</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Milestone Payments</w:t>
      </w:r>
    </w:p>
    <w:p>
      <w:pPr>
        <w:spacing w:after="0" w:line="12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5"/>
          <w:szCs w:val="15"/>
          <w:color w:val="auto"/>
        </w:rPr>
        <w:t>Pursuant to the legal settlement with SHMH in September 2018, which included the license of intellectual property rights from SHMH, an ongoing royalty of 1% to 2.5% of NRX-101 gross sales shall be due to SHMH, together with milestone payments of $250,000, upon completion of phase 3 trials and commercial sale of NRX-101. The milestone payments for developmental and commercial milestones range from $100,000 to $750,000. Annual maintenance fees range up to $150,000.</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36" w:lineRule="exact"/>
        <w:rPr>
          <w:sz w:val="20"/>
          <w:szCs w:val="20"/>
          <w:color w:val="auto"/>
        </w:rPr>
      </w:pPr>
    </w:p>
    <w:p>
      <w:pPr>
        <w:jc w:val="both"/>
        <w:ind w:left="40" w:right="39"/>
        <w:spacing w:after="0" w:line="280" w:lineRule="auto"/>
        <w:rPr>
          <w:sz w:val="20"/>
          <w:szCs w:val="20"/>
          <w:color w:val="auto"/>
        </w:rPr>
      </w:pPr>
      <w:r>
        <w:rPr>
          <w:rFonts w:ascii="Times New Roman" w:cs="Times New Roman" w:eastAsia="Times New Roman" w:hAnsi="Times New Roman"/>
          <w:sz w:val="15"/>
          <w:szCs w:val="15"/>
          <w:color w:val="auto"/>
        </w:rPr>
        <w:t>NRx Pharmaceuticals is not party to any off-balance sheet transactions. NRx Pharmaceuticals has no guarantees or obligations other than those which arise out of normal business operations.</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Critical Accounting Policies and Significant Judgments and Estimates</w:t>
      </w:r>
    </w:p>
    <w:p>
      <w:pPr>
        <w:spacing w:after="0" w:line="136" w:lineRule="exact"/>
        <w:rPr>
          <w:sz w:val="20"/>
          <w:szCs w:val="20"/>
          <w:color w:val="auto"/>
        </w:rPr>
      </w:pPr>
    </w:p>
    <w:p>
      <w:pPr>
        <w:jc w:val="both"/>
        <w:ind w:left="40" w:right="39"/>
        <w:spacing w:after="0" w:line="254" w:lineRule="auto"/>
        <w:rPr>
          <w:sz w:val="20"/>
          <w:szCs w:val="20"/>
          <w:color w:val="auto"/>
        </w:rPr>
      </w:pPr>
      <w:r>
        <w:rPr>
          <w:rFonts w:ascii="Times New Roman" w:cs="Times New Roman" w:eastAsia="Times New Roman" w:hAnsi="Times New Roman"/>
          <w:sz w:val="15"/>
          <w:szCs w:val="15"/>
          <w:color w:val="auto"/>
        </w:rPr>
        <w:t>NRx Pharmaceuticals' management’s discussion and analysis of its financial condition and results of operations is based on its financial statements, which have been prepared in accordance with U.S.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U.S. GAAP, NRx Pharmaceuticals evaluates its estimates and judgments on an ongoing basis. The most significant estimates relate to the valuation of conversion features of convertible notes and common stock, the valuation of stock options and warrants and the valuation allowance of deferred tax assets resulting from net operating losses.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01"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3 to its financial statements, NRx Pharmaceuticals believes the following are the critical accounting policies used in the preparation of its financial statements that require significant estimates and judgments.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Fair value of common and preferred stock</w:t>
      </w:r>
    </w:p>
    <w:p>
      <w:pPr>
        <w:spacing w:after="0" w:line="134"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Prior to the Merger, in order to determine the fair value of shares of its common stock, the Company's board of directors considered, among other things, contemporaneous valuations of its common stock and preferred stock based on arms-length transactions with third party investors. Subsequent to the Merger, the Board determines the fair value of the Common Stock based on the closing market price on the date of grant.</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Share-based compensation</w:t>
      </w:r>
    </w:p>
    <w:p>
      <w:pPr>
        <w:spacing w:after="0" w:line="122"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Our stock-based awards are classified as equity (stock options and warrants). We recognize related share-based compensation expense based on the grant date fair value of the awards. We estimate the fair value of all stock-based awards using the Black-Scholes-Merton valuation model which requires the use of subjective assumptions that could materially impact the estimation of fair value and related compensation expense to be recognized. One of these assumptions include the expected volatility of our stock price. Developing this assumption requires the use of judgment. The Company, both prior to and after the Merger, lacks company-specific historical and implied volatility information. Therefore, it estimates its expected stock volatility based on the historical volatility of a publicly traded set of peer companies. We also estimate the fair value of our common stock based on third party sales of our common stock</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Warrant liabilities</w:t>
      </w:r>
    </w:p>
    <w:p>
      <w:pPr>
        <w:spacing w:after="0" w:line="134" w:lineRule="exact"/>
        <w:rPr>
          <w:sz w:val="20"/>
          <w:szCs w:val="20"/>
          <w:color w:val="auto"/>
        </w:rPr>
      </w:pPr>
    </w:p>
    <w:p>
      <w:pPr>
        <w:jc w:val="both"/>
        <w:ind w:left="40" w:right="39"/>
        <w:spacing w:after="0" w:line="255" w:lineRule="auto"/>
        <w:rPr>
          <w:sz w:val="20"/>
          <w:szCs w:val="20"/>
          <w:color w:val="auto"/>
        </w:rPr>
      </w:pPr>
      <w:r>
        <w:rPr>
          <w:rFonts w:ascii="Times New Roman" w:cs="Times New Roman" w:eastAsia="Times New Roman" w:hAnsi="Times New Roman"/>
          <w:sz w:val="15"/>
          <w:szCs w:val="15"/>
          <w:color w:val="auto"/>
        </w:rPr>
        <w:t>We account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5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5"/>
          <w:szCs w:val="15"/>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Earnout Cash liability</w:t>
      </w:r>
    </w:p>
    <w:p>
      <w:pPr>
        <w:spacing w:after="0" w:line="134" w:lineRule="exact"/>
        <w:rPr>
          <w:sz w:val="20"/>
          <w:szCs w:val="20"/>
          <w:color w:val="auto"/>
        </w:rPr>
      </w:pPr>
    </w:p>
    <w:p>
      <w:pPr>
        <w:jc w:val="both"/>
        <w:ind w:left="40" w:right="39"/>
        <w:spacing w:after="0" w:line="258" w:lineRule="auto"/>
        <w:rPr>
          <w:sz w:val="20"/>
          <w:szCs w:val="20"/>
          <w:color w:val="auto"/>
        </w:rPr>
      </w:pPr>
      <w:r>
        <w:rPr>
          <w:rFonts w:ascii="Times New Roman" w:cs="Times New Roman" w:eastAsia="Times New Roman" w:hAnsi="Times New Roman"/>
          <w:sz w:val="15"/>
          <w:szCs w:val="15"/>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DCFs incorporate Level 3 inputs including estimated discount rates that we believe market participants would consider relevant in pricing and the projected timing and amount of cash flows, which are estimated and developed, considering the uncertainties associated with the obligations. Changes in the estimated fair value of the warrants are recognized as a non-cash gain or loss on the statements of operations.</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As a smaller reporting company, we are not required to provide the information required by this Item.</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(a) Evaluation of Disclosure Controls and Procedures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5"/>
          <w:szCs w:val="15"/>
          <w:color w:val="auto"/>
        </w:rPr>
        <w:t>Our Chief Executive Officer and Chief Financial Officer (“certifying officers”) have conducted an evaluation of the effectiveness of the design and operation of our disclosure controls and procedures (as defined in Rules 13a-15(e) and 15d-15(e) under the Securities Exchange Act of 1934, as amended (the Exchange Act)) as of June 30, 2021. Our certifying officers concluded that, as a result of the material weakness in internal control over financial reporting as described below, our disclosure controls and procedures were not effective as of June 30, 2021.</w:t>
      </w:r>
    </w:p>
    <w:p>
      <w:pPr>
        <w:spacing w:after="0" w:line="154" w:lineRule="exact"/>
        <w:rPr>
          <w:sz w:val="20"/>
          <w:szCs w:val="20"/>
          <w:color w:val="auto"/>
        </w:rPr>
      </w:pPr>
    </w:p>
    <w:p>
      <w:pPr>
        <w:jc w:val="both"/>
        <w:ind w:left="40" w:right="39"/>
        <w:spacing w:after="0" w:line="256" w:lineRule="auto"/>
        <w:rPr>
          <w:sz w:val="20"/>
          <w:szCs w:val="20"/>
          <w:color w:val="auto"/>
        </w:rPr>
      </w:pPr>
      <w:r>
        <w:rPr>
          <w:rFonts w:ascii="Times New Roman" w:cs="Times New Roman" w:eastAsia="Times New Roman" w:hAnsi="Times New Roman"/>
          <w:sz w:val="15"/>
          <w:szCs w:val="15"/>
          <w:color w:val="auto"/>
        </w:rPr>
        <w:t>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181"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5"/>
          <w:szCs w:val="15"/>
          <w:color w:val="auto"/>
        </w:rPr>
        <w:t>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98"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The material weakness was due to ineffective risk assessment related to review procedures for complex transactions. This led to a deficiency in the design and implementation of appropriate review controls for complex warrant transactions. The material weakness resulted in a restatement of its financial statements to reclassify the Company’s Substitute Warrants as described in the Explanatory Note to this Quarterly Report.</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 Changes in Internal Control Over Financial Reporting</w:t>
      </w:r>
    </w:p>
    <w:p>
      <w:pPr>
        <w:spacing w:after="0" w:line="147"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5"/>
          <w:szCs w:val="15"/>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jc w:val="both"/>
        <w:ind w:left="40" w:right="39"/>
        <w:spacing w:after="0" w:line="285" w:lineRule="auto"/>
        <w:rPr>
          <w:sz w:val="20"/>
          <w:szCs w:val="20"/>
          <w:color w:val="auto"/>
        </w:rPr>
      </w:pPr>
      <w:r>
        <w:rPr>
          <w:rFonts w:ascii="Times New Roman" w:cs="Times New Roman" w:eastAsia="Times New Roman" w:hAnsi="Times New Roman"/>
          <w:sz w:val="15"/>
          <w:szCs w:val="15"/>
          <w:color w:val="auto"/>
        </w:rPr>
        <w:t>In light of the restatement of our financial statements included in this amendment, we plan to enhance our processes to identify and appropriately apply applicable accounting requirements to better evaluate and understand the nuances of the complex accounting standards that apply to our financial statements. Management is in the process of implementing remediation procedures to address the control deficiency that led to the material weakness. The remediation plan included, but is not limited to, the implementation of additional review procedures regarding the method for accounting for warrants issued in connection with an equity transaction.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 – OTHER INFORMATION</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136"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5"/>
          <w:szCs w:val="15"/>
          <w:color w:val="auto"/>
        </w:rPr>
        <w:t>We may become involved in various legal actions incidental to our business. As of the date of this report, we are not involved in any legal proceedings that we believe could have a material adverse effect on our financial position or results of operations.</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There have been no material changes to the risk factors that we have previously disclosed in our Registration Statement.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(b) Use of Proceeds from Public Offering of Common Stock</w:t>
      </w:r>
    </w:p>
    <w:p>
      <w:pPr>
        <w:spacing w:after="0" w:line="136"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On July 12, 2021, our Registration Statement on Form S-1 (File No. 333-257438) was declared effective (“Registration Statement”). We filed the Registration Statement to permit certain holders of the shares of our Common Stock to resell such shares (Selling Securities Holders). We did not receive any proceeds from the sale of shares by the Selling Securityholders.</w:t>
      </w:r>
    </w:p>
    <w:p>
      <w:pPr>
        <w:spacing w:after="0" w:line="8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5"/>
          <w:szCs w:val="15"/>
          <w:color w:val="auto"/>
        </w:rPr>
        <w:t>We also registered the issuance of an aggregate of 3,586,250 shares of our Common Stock upon the exercise of outstanding warrants. We will receive the proceeds from any exercise of warrants for cash. We intend to use the proceeds the exercise of warrants for cash for general corporate, funding of clinical trial programs and working capital purposes.</w:t>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98"/>
        </w:trPr>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40" w:type="dxa"/>
            <w:vAlign w:val="bottom"/>
          </w:tcPr>
          <w:p>
            <w:pPr>
              <w:spacing w:after="0"/>
              <w:rPr>
                <w:sz w:val="17"/>
                <w:szCs w:val="17"/>
                <w:color w:val="auto"/>
              </w:rPr>
            </w:pPr>
          </w:p>
        </w:tc>
        <w:tc>
          <w:tcPr>
            <w:tcW w:w="7880" w:type="dxa"/>
            <w:vAlign w:val="bottom"/>
            <w:gridSpan w:val="3"/>
          </w:tcPr>
          <w:p>
            <w:pPr>
              <w:ind w:left="354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319"/>
        </w:trPr>
        <w:tc>
          <w:tcPr>
            <w:tcW w:w="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31.1+</w:t>
            </w: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24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99"/>
              </w:rPr>
              <w:t>Certification of Principal Executive Officer pursuant to Section 302 of the Sarbanes-Oxley Act of 2002.</w:t>
            </w:r>
          </w:p>
        </w:tc>
        <w:tc>
          <w:tcPr>
            <w:tcW w:w="1640" w:type="dxa"/>
            <w:vAlign w:val="bottom"/>
            <w:tcBorders>
              <w:top w:val="single" w:sz="8" w:color="auto"/>
            </w:tcBorders>
          </w:tcPr>
          <w:p>
            <w:pPr>
              <w:spacing w:after="0"/>
              <w:rPr>
                <w:sz w:val="24"/>
                <w:szCs w:val="24"/>
                <w:color w:val="auto"/>
              </w:rPr>
            </w:pPr>
          </w:p>
        </w:tc>
      </w:tr>
      <w:tr>
        <w:trPr>
          <w:trHeight w:val="386"/>
        </w:trPr>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31.2+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Certification of Principal Financial Officer pursuant to Section 302 of the Sarbanes-Oxley Act of 2002.</w:t>
            </w:r>
          </w:p>
        </w:tc>
      </w:tr>
      <w:tr>
        <w:trPr>
          <w:trHeight w:val="20"/>
        </w:trPr>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386"/>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32.1+†</w:t>
            </w:r>
          </w:p>
        </w:tc>
        <w:tc>
          <w:tcPr>
            <w:tcW w:w="40" w:type="dxa"/>
            <w:vAlign w:val="bottom"/>
          </w:tcPr>
          <w:p>
            <w:pPr>
              <w:spacing w:after="0"/>
              <w:rPr>
                <w:sz w:val="24"/>
                <w:szCs w:val="24"/>
                <w:color w:val="auto"/>
              </w:rPr>
            </w:pPr>
          </w:p>
        </w:tc>
        <w:tc>
          <w:tcPr>
            <w:tcW w:w="6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99"/>
              </w:rPr>
              <w:t>Certification of Principal Executive Officer pursuant to Section 906 of the Sarbanes-Oxley Act of 2002.</w:t>
            </w:r>
          </w:p>
        </w:tc>
        <w:tc>
          <w:tcPr>
            <w:tcW w:w="1640" w:type="dxa"/>
            <w:vAlign w:val="bottom"/>
          </w:tcPr>
          <w:p>
            <w:pPr>
              <w:spacing w:after="0"/>
              <w:rPr>
                <w:sz w:val="24"/>
                <w:szCs w:val="24"/>
                <w:color w:val="auto"/>
              </w:rPr>
            </w:pPr>
          </w:p>
        </w:tc>
      </w:tr>
      <w:tr>
        <w:trPr>
          <w:trHeight w:val="386"/>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32.2+†</w:t>
            </w:r>
          </w:p>
        </w:tc>
        <w:tc>
          <w:tcPr>
            <w:tcW w:w="40" w:type="dxa"/>
            <w:vAlign w:val="bottom"/>
          </w:tcPr>
          <w:p>
            <w:pPr>
              <w:spacing w:after="0"/>
              <w:rPr>
                <w:sz w:val="24"/>
                <w:szCs w:val="24"/>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Certification of Principal Financial Officer pursuant to Section 906 of the Sarbanes-Oxley Act of 2002.</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405"/>
        </w:trPr>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Interactive data files pursuant to Rule 405 of Regulation S-T: (i) Unaudited Condensed Consolidated Balance Sheets as of June</w:t>
            </w:r>
          </w:p>
        </w:tc>
      </w:tr>
      <w:tr>
        <w:trPr>
          <w:trHeight w:val="180"/>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30, 2021 (as restated) and December 31, 2020; (ii) Unaudited Condensed Consolidated Statements of Operations for the three</w:t>
            </w:r>
          </w:p>
        </w:tc>
      </w:tr>
      <w:tr>
        <w:trPr>
          <w:trHeight w:val="180"/>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months and six months ended June 30, 2021 (as restated) and 2020; (iii) Unaudited Condensed Consolidated Statements of</w:t>
            </w:r>
          </w:p>
        </w:tc>
      </w:tr>
      <w:tr>
        <w:trPr>
          <w:trHeight w:val="180"/>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Changes in Stockholders' Equity (Deficit) for the six months ended June 30, 2021 (as restated) and 2020; (iv) Unaudited</w:t>
            </w:r>
          </w:p>
        </w:tc>
      </w:tr>
      <w:tr>
        <w:trPr>
          <w:trHeight w:val="180"/>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Condensed Consolidated Statements of Cash Flows for the six months ended June 30, 2021 (as restated) and 2020; and (v) Notes</w:t>
            </w: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to Unaudited Financial Statements</w:t>
            </w:r>
          </w:p>
        </w:tc>
      </w:tr>
    </w:tbl>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Filed herewith.</w:t>
      </w:r>
    </w:p>
    <w:p>
      <w:pPr>
        <w:spacing w:after="0" w:line="21" w:lineRule="exact"/>
        <w:rPr>
          <w:sz w:val="20"/>
          <w:szCs w:val="20"/>
          <w:color w:val="auto"/>
        </w:rPr>
      </w:pPr>
    </w:p>
    <w:p>
      <w:pPr>
        <w:jc w:val="both"/>
        <w:ind w:left="40" w:right="39" w:hanging="4"/>
        <w:spacing w:after="0" w:line="250" w:lineRule="auto"/>
        <w:tabs>
          <w:tab w:leader="none" w:pos="18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 w:lineRule="exact"/>
        <w:rPr>
          <w:rFonts w:ascii="Times New Roman" w:cs="Times New Roman" w:eastAsia="Times New Roman" w:hAnsi="Times New Roman"/>
          <w:sz w:val="15"/>
          <w:szCs w:val="15"/>
          <w:color w:val="auto"/>
        </w:rPr>
      </w:pPr>
    </w:p>
    <w:p>
      <w:pPr>
        <w:jc w:val="both"/>
        <w:ind w:left="40" w:right="59"/>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3725" cy="21590"/>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3" w:lineRule="exact"/>
        <w:rPr>
          <w:sz w:val="20"/>
          <w:szCs w:val="20"/>
          <w:color w:val="auto"/>
        </w:rPr>
      </w:pPr>
    </w:p>
    <w:p>
      <w:pPr>
        <w:ind w:left="40" w:right="359"/>
        <w:spacing w:after="0" w:line="280"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color w:val="auto"/>
        </w:rPr>
        <w:t>NRX PHARMACEUTICALS, INC.</w:t>
      </w:r>
    </w:p>
    <w:p>
      <w:pPr>
        <w:spacing w:after="0" w:line="200" w:lineRule="exact"/>
        <w:rPr>
          <w:sz w:val="20"/>
          <w:szCs w:val="20"/>
          <w:color w:val="auto"/>
        </w:rPr>
      </w:pPr>
    </w:p>
    <w:p>
      <w:pPr>
        <w:spacing w:after="0" w:line="270" w:lineRule="exact"/>
        <w:rPr>
          <w:sz w:val="20"/>
          <w:szCs w:val="20"/>
          <w:color w:val="auto"/>
        </w:rPr>
      </w:pPr>
    </w:p>
    <w:p>
      <w:pPr>
        <w:ind w:left="40"/>
        <w:spacing w:after="0"/>
        <w:tabs>
          <w:tab w:leader="none" w:pos="4400" w:val="left"/>
          <w:tab w:leader="none" w:pos="4920" w:val="left"/>
        </w:tabs>
        <w:rPr>
          <w:sz w:val="20"/>
          <w:szCs w:val="20"/>
          <w:color w:val="auto"/>
        </w:rPr>
      </w:pPr>
      <w:r>
        <w:rPr>
          <w:rFonts w:ascii="Times New Roman" w:cs="Times New Roman" w:eastAsia="Times New Roman" w:hAnsi="Times New Roman"/>
          <w:sz w:val="15"/>
          <w:szCs w:val="15"/>
          <w:color w:val="auto"/>
        </w:rPr>
        <w:t>Date: August 12, 2022</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Seth Van Voorhees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28575</wp:posOffset>
            </wp:positionV>
            <wp:extent cx="25685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8575" cy="6985"/>
                    </a:xfrm>
                    <a:prstGeom prst="rect">
                      <a:avLst/>
                    </a:prstGeom>
                    <a:noFill/>
                  </pic:spPr>
                </pic:pic>
              </a:graphicData>
            </a:graphic>
          </wp:anchor>
        </w:drawing>
      </w:r>
    </w:p>
    <w:p>
      <w:pPr>
        <w:spacing w:after="0" w:line="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5"/>
          <w:szCs w:val="15"/>
          <w:color w:val="auto"/>
        </w:rPr>
        <w:t>Seth Van Voorhees</w:t>
      </w:r>
    </w:p>
    <w:p>
      <w:pPr>
        <w:spacing w:after="0" w:line="4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4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5"/>
          <w:szCs w:val="15"/>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300355</wp:posOffset>
            </wp:positionV>
            <wp:extent cx="567372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3725" cy="14605"/>
                    </a:xfrm>
                    <a:prstGeom prst="rect">
                      <a:avLst/>
                    </a:prstGeom>
                    <a:noFill/>
                  </pic:spPr>
                </pic:pic>
              </a:graphicData>
            </a:graphic>
          </wp:anchor>
        </w:drawing>
      </w:r>
    </w:p>
    <w:p>
      <w:pPr>
        <w:sectPr>
          <w:pgSz w:w="11900" w:h="16838" w:orient="portrait"/>
          <w:cols w:equalWidth="0" w:num="1">
            <w:col w:w="9019"/>
          </w:cols>
          <w:pgMar w:left="1440" w:top="452"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11" w:lineRule="exact"/>
        <w:rPr>
          <w:sz w:val="20"/>
          <w:szCs w:val="20"/>
          <w:color w:val="auto"/>
        </w:rPr>
      </w:pPr>
    </w:p>
    <w:p>
      <w:pPr>
        <w:jc w:val="center"/>
        <w:ind w:right="13"/>
        <w:spacing w:after="0" w:line="265" w:lineRule="auto"/>
        <w:rPr>
          <w:sz w:val="20"/>
          <w:szCs w:val="20"/>
          <w:color w:val="auto"/>
        </w:rPr>
      </w:pPr>
      <w:r>
        <w:rPr>
          <w:rFonts w:ascii="Times New Roman" w:cs="Times New Roman" w:eastAsia="Times New Roman" w:hAnsi="Times New Roman"/>
          <w:sz w:val="14"/>
          <w:szCs w:val="14"/>
          <w:b w:val="1"/>
          <w:bCs w:val="1"/>
          <w:color w:val="auto"/>
        </w:rPr>
        <w:t>CERTIFICATION OF THE CHIEF EXECUTIVE OFFICER PURSUANT TO RULE 13a-14(a) AND 15d-14(a), AS ADOPTED PURSUANT TO SECTION 302 OF THE SARBANES-OXLEY ACT OF 2002</w:t>
      </w:r>
    </w:p>
    <w:p>
      <w:pPr>
        <w:spacing w:after="0" w:line="18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I, Stephen H. Willard, Chief Executive Officer of NRx Pharmaceuticals, Inc., certify that:</w:t>
      </w:r>
    </w:p>
    <w:p>
      <w:pPr>
        <w:spacing w:after="0" w:line="211" w:lineRule="exact"/>
        <w:rPr>
          <w:sz w:val="20"/>
          <w:szCs w:val="20"/>
          <w:color w:val="auto"/>
        </w:rPr>
      </w:pPr>
    </w:p>
    <w:p>
      <w:pPr>
        <w:ind w:left="267" w:hanging="267"/>
        <w:spacing w:after="0"/>
        <w:tabs>
          <w:tab w:leader="none" w:pos="26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10-Q/A of NRx Pharmaceuticals, Inc. (the “Registrant”);</w:t>
      </w:r>
    </w:p>
    <w:p>
      <w:pPr>
        <w:spacing w:after="0" w:line="210" w:lineRule="exact"/>
        <w:rPr>
          <w:rFonts w:ascii="Times New Roman" w:cs="Times New Roman" w:eastAsia="Times New Roman" w:hAnsi="Times New Roman"/>
          <w:sz w:val="14"/>
          <w:szCs w:val="14"/>
          <w:color w:val="auto"/>
        </w:rPr>
      </w:pPr>
    </w:p>
    <w:p>
      <w:pPr>
        <w:ind w:left="267" w:right="80" w:hanging="267"/>
        <w:spacing w:after="0" w:line="272" w:lineRule="auto"/>
        <w:tabs>
          <w:tab w:leader="none" w:pos="26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4"/>
          <w:szCs w:val="14"/>
          <w:color w:val="auto"/>
        </w:rPr>
      </w:pPr>
    </w:p>
    <w:p>
      <w:pPr>
        <w:ind w:left="267" w:right="160" w:hanging="267"/>
        <w:spacing w:after="0" w:line="272" w:lineRule="auto"/>
        <w:tabs>
          <w:tab w:leader="none" w:pos="26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5" w:lineRule="exact"/>
        <w:rPr>
          <w:rFonts w:ascii="Times New Roman" w:cs="Times New Roman" w:eastAsia="Times New Roman" w:hAnsi="Times New Roman"/>
          <w:sz w:val="14"/>
          <w:szCs w:val="14"/>
          <w:color w:val="auto"/>
        </w:rPr>
      </w:pPr>
    </w:p>
    <w:p>
      <w:pPr>
        <w:ind w:left="267" w:right="220" w:hanging="267"/>
        <w:spacing w:after="0" w:line="272" w:lineRule="auto"/>
        <w:tabs>
          <w:tab w:leader="none" w:pos="26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4"/>
          <w:szCs w:val="14"/>
          <w:color w:val="auto"/>
        </w:rPr>
      </w:pPr>
    </w:p>
    <w:p>
      <w:pPr>
        <w:ind w:left="807" w:right="360" w:hanging="267"/>
        <w:spacing w:after="0" w:line="262" w:lineRule="auto"/>
        <w:tabs>
          <w:tab w:leader="none" w:pos="80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82" w:lineRule="exact"/>
        <w:rPr>
          <w:rFonts w:ascii="Times New Roman" w:cs="Times New Roman" w:eastAsia="Times New Roman" w:hAnsi="Times New Roman"/>
          <w:sz w:val="14"/>
          <w:szCs w:val="14"/>
          <w:color w:val="auto"/>
        </w:rPr>
      </w:pPr>
    </w:p>
    <w:p>
      <w:pPr>
        <w:ind w:left="807" w:right="400" w:hanging="267"/>
        <w:spacing w:after="0" w:line="262" w:lineRule="auto"/>
        <w:tabs>
          <w:tab w:leader="none" w:pos="80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4"/>
          <w:szCs w:val="14"/>
          <w:color w:val="auto"/>
        </w:rPr>
      </w:pPr>
    </w:p>
    <w:p>
      <w:pPr>
        <w:ind w:left="807" w:right="140" w:hanging="267"/>
        <w:spacing w:after="0" w:line="272" w:lineRule="auto"/>
        <w:tabs>
          <w:tab w:leader="none" w:pos="80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4"/>
          <w:szCs w:val="14"/>
          <w:color w:val="auto"/>
        </w:rPr>
      </w:pPr>
    </w:p>
    <w:p>
      <w:pPr>
        <w:ind w:left="807" w:right="80" w:hanging="267"/>
        <w:spacing w:after="0" w:line="262" w:lineRule="auto"/>
        <w:tabs>
          <w:tab w:leader="none" w:pos="80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4"/>
          <w:szCs w:val="14"/>
          <w:color w:val="auto"/>
        </w:rPr>
      </w:pPr>
    </w:p>
    <w:p>
      <w:pPr>
        <w:ind w:left="267" w:right="100" w:hanging="267"/>
        <w:spacing w:after="0" w:line="272" w:lineRule="auto"/>
        <w:tabs>
          <w:tab w:leader="none" w:pos="26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5" w:lineRule="exact"/>
        <w:rPr>
          <w:rFonts w:ascii="Times New Roman" w:cs="Times New Roman" w:eastAsia="Times New Roman" w:hAnsi="Times New Roman"/>
          <w:sz w:val="14"/>
          <w:szCs w:val="14"/>
          <w:color w:val="auto"/>
        </w:rPr>
      </w:pPr>
    </w:p>
    <w:p>
      <w:pPr>
        <w:ind w:left="807" w:right="20" w:hanging="267"/>
        <w:spacing w:after="0" w:line="272" w:lineRule="auto"/>
        <w:tabs>
          <w:tab w:leader="none" w:pos="80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4"/>
          <w:szCs w:val="14"/>
          <w:color w:val="auto"/>
        </w:rPr>
      </w:pPr>
    </w:p>
    <w:p>
      <w:pPr>
        <w:ind w:left="807" w:right="540" w:hanging="267"/>
        <w:spacing w:after="0" w:line="272" w:lineRule="auto"/>
        <w:tabs>
          <w:tab w:leader="none" w:pos="80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7" w:type="dxa"/>
        <w:tblCellMar>
          <w:top w:w="0" w:type="dxa"/>
          <w:left w:w="0" w:type="dxa"/>
          <w:bottom w:w="0" w:type="dxa"/>
          <w:right w:w="0" w:type="dxa"/>
        </w:tblCellMar>
      </w:tblPr>
      <w:tr>
        <w:trPr>
          <w:trHeight w:val="194"/>
        </w:trPr>
        <w:tc>
          <w:tcPr>
            <w:tcW w:w="4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 August 12, 2022</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Stephen H. Willard</w:t>
            </w:r>
          </w:p>
        </w:tc>
      </w:tr>
      <w:tr>
        <w:trPr>
          <w:trHeight w:val="173"/>
        </w:trPr>
        <w:tc>
          <w:tcPr>
            <w:tcW w:w="496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Stephen H. Willard</w:t>
            </w:r>
          </w:p>
        </w:tc>
      </w:tr>
      <w:tr>
        <w:trPr>
          <w:trHeight w:val="174"/>
        </w:trPr>
        <w:tc>
          <w:tcPr>
            <w:tcW w:w="496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(Principal Executive Officer)</w:t>
            </w:r>
          </w:p>
        </w:tc>
      </w:tr>
      <w:tr>
        <w:trPr>
          <w:trHeight w:val="650"/>
        </w:trPr>
        <w:tc>
          <w:tcPr>
            <w:tcW w:w="49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47"/>
          </w:cols>
          <w:pgMar w:left="973" w:top="125" w:right="97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11" w:lineRule="exact"/>
        <w:rPr>
          <w:sz w:val="20"/>
          <w:szCs w:val="20"/>
          <w:color w:val="auto"/>
        </w:rPr>
      </w:pPr>
    </w:p>
    <w:p>
      <w:pPr>
        <w:jc w:val="center"/>
        <w:ind w:right="13"/>
        <w:spacing w:after="0" w:line="265" w:lineRule="auto"/>
        <w:rPr>
          <w:sz w:val="20"/>
          <w:szCs w:val="20"/>
          <w:color w:val="auto"/>
        </w:rPr>
      </w:pPr>
      <w:r>
        <w:rPr>
          <w:rFonts w:ascii="Times New Roman" w:cs="Times New Roman" w:eastAsia="Times New Roman" w:hAnsi="Times New Roman"/>
          <w:sz w:val="14"/>
          <w:szCs w:val="14"/>
          <w:b w:val="1"/>
          <w:bCs w:val="1"/>
          <w:color w:val="auto"/>
        </w:rPr>
        <w:t>CERTIFICATION OF THE ACTING CHIEF FINANCIAL OFFICER PURSUANT TO RULE 13a-14(a) AND 15d-14(a), AS ADOPTED PURSUANT TO SECTION 302 OF THE SARBANES-OXLEY ACT OF 2002</w:t>
      </w:r>
    </w:p>
    <w:p>
      <w:pPr>
        <w:spacing w:after="0" w:line="18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I, Seth Van Voorhees, Chief Financial Officer of NRx Pharmaceuticals, Inc., certify that:</w:t>
      </w:r>
    </w:p>
    <w:p>
      <w:pPr>
        <w:spacing w:after="0" w:line="211" w:lineRule="exact"/>
        <w:rPr>
          <w:sz w:val="20"/>
          <w:szCs w:val="20"/>
          <w:color w:val="auto"/>
        </w:rPr>
      </w:pPr>
    </w:p>
    <w:p>
      <w:pPr>
        <w:ind w:left="267" w:hanging="267"/>
        <w:spacing w:after="0"/>
        <w:tabs>
          <w:tab w:leader="none" w:pos="26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10-Q/A of NRx Pharmaceuticals, Inc. (the “Registrant”);</w:t>
      </w:r>
    </w:p>
    <w:p>
      <w:pPr>
        <w:spacing w:after="0" w:line="210" w:lineRule="exact"/>
        <w:rPr>
          <w:rFonts w:ascii="Times New Roman" w:cs="Times New Roman" w:eastAsia="Times New Roman" w:hAnsi="Times New Roman"/>
          <w:sz w:val="14"/>
          <w:szCs w:val="14"/>
          <w:color w:val="auto"/>
        </w:rPr>
      </w:pPr>
    </w:p>
    <w:p>
      <w:pPr>
        <w:ind w:left="267" w:right="80" w:hanging="267"/>
        <w:spacing w:after="0" w:line="272" w:lineRule="auto"/>
        <w:tabs>
          <w:tab w:leader="none" w:pos="26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4"/>
          <w:szCs w:val="14"/>
          <w:color w:val="auto"/>
        </w:rPr>
      </w:pPr>
    </w:p>
    <w:p>
      <w:pPr>
        <w:ind w:left="267" w:right="160" w:hanging="267"/>
        <w:spacing w:after="0" w:line="272" w:lineRule="auto"/>
        <w:tabs>
          <w:tab w:leader="none" w:pos="26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5" w:lineRule="exact"/>
        <w:rPr>
          <w:rFonts w:ascii="Times New Roman" w:cs="Times New Roman" w:eastAsia="Times New Roman" w:hAnsi="Times New Roman"/>
          <w:sz w:val="14"/>
          <w:szCs w:val="14"/>
          <w:color w:val="auto"/>
        </w:rPr>
      </w:pPr>
    </w:p>
    <w:p>
      <w:pPr>
        <w:ind w:left="267" w:right="220" w:hanging="267"/>
        <w:spacing w:after="0" w:line="272" w:lineRule="auto"/>
        <w:tabs>
          <w:tab w:leader="none" w:pos="26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4"/>
          <w:szCs w:val="14"/>
          <w:color w:val="auto"/>
        </w:rPr>
      </w:pPr>
    </w:p>
    <w:p>
      <w:pPr>
        <w:ind w:left="807" w:right="360" w:hanging="267"/>
        <w:spacing w:after="0" w:line="262" w:lineRule="auto"/>
        <w:tabs>
          <w:tab w:leader="none" w:pos="80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82" w:lineRule="exact"/>
        <w:rPr>
          <w:rFonts w:ascii="Times New Roman" w:cs="Times New Roman" w:eastAsia="Times New Roman" w:hAnsi="Times New Roman"/>
          <w:sz w:val="14"/>
          <w:szCs w:val="14"/>
          <w:color w:val="auto"/>
        </w:rPr>
      </w:pPr>
    </w:p>
    <w:p>
      <w:pPr>
        <w:ind w:left="807" w:right="400" w:hanging="267"/>
        <w:spacing w:after="0" w:line="262" w:lineRule="auto"/>
        <w:tabs>
          <w:tab w:leader="none" w:pos="80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4"/>
          <w:szCs w:val="14"/>
          <w:color w:val="auto"/>
        </w:rPr>
      </w:pPr>
    </w:p>
    <w:p>
      <w:pPr>
        <w:ind w:left="807" w:right="140" w:hanging="267"/>
        <w:spacing w:after="0" w:line="272" w:lineRule="auto"/>
        <w:tabs>
          <w:tab w:leader="none" w:pos="80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4"/>
          <w:szCs w:val="14"/>
          <w:color w:val="auto"/>
        </w:rPr>
      </w:pPr>
    </w:p>
    <w:p>
      <w:pPr>
        <w:ind w:left="807" w:right="80" w:hanging="267"/>
        <w:spacing w:after="0" w:line="262" w:lineRule="auto"/>
        <w:tabs>
          <w:tab w:leader="none" w:pos="80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4"/>
          <w:szCs w:val="14"/>
          <w:color w:val="auto"/>
        </w:rPr>
      </w:pPr>
    </w:p>
    <w:p>
      <w:pPr>
        <w:ind w:left="267" w:right="100" w:hanging="267"/>
        <w:spacing w:after="0" w:line="272" w:lineRule="auto"/>
        <w:tabs>
          <w:tab w:leader="none" w:pos="26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5" w:lineRule="exact"/>
        <w:rPr>
          <w:rFonts w:ascii="Times New Roman" w:cs="Times New Roman" w:eastAsia="Times New Roman" w:hAnsi="Times New Roman"/>
          <w:sz w:val="14"/>
          <w:szCs w:val="14"/>
          <w:color w:val="auto"/>
        </w:rPr>
      </w:pPr>
    </w:p>
    <w:p>
      <w:pPr>
        <w:ind w:left="807" w:right="20" w:hanging="267"/>
        <w:spacing w:after="0" w:line="272" w:lineRule="auto"/>
        <w:tabs>
          <w:tab w:leader="none" w:pos="80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4"/>
          <w:szCs w:val="14"/>
          <w:color w:val="auto"/>
        </w:rPr>
      </w:pPr>
    </w:p>
    <w:p>
      <w:pPr>
        <w:ind w:left="807" w:right="540" w:hanging="267"/>
        <w:spacing w:after="0" w:line="272" w:lineRule="auto"/>
        <w:tabs>
          <w:tab w:leader="none" w:pos="80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7" w:type="dxa"/>
        <w:tblCellMar>
          <w:top w:w="0" w:type="dxa"/>
          <w:left w:w="0" w:type="dxa"/>
          <w:bottom w:w="0" w:type="dxa"/>
          <w:right w:w="0" w:type="dxa"/>
        </w:tblCellMar>
      </w:tblPr>
      <w:tr>
        <w:trPr>
          <w:trHeight w:val="194"/>
        </w:trPr>
        <w:tc>
          <w:tcPr>
            <w:tcW w:w="4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 August 12, 2022</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Seth Van Voorhees</w:t>
            </w:r>
          </w:p>
        </w:tc>
      </w:tr>
      <w:tr>
        <w:trPr>
          <w:trHeight w:val="186"/>
        </w:trPr>
        <w:tc>
          <w:tcPr>
            <w:tcW w:w="496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Seth Van Voorhees (Principal Financial Officer)</w:t>
            </w:r>
          </w:p>
        </w:tc>
      </w:tr>
      <w:tr>
        <w:trPr>
          <w:trHeight w:val="812"/>
        </w:trPr>
        <w:tc>
          <w:tcPr>
            <w:tcW w:w="49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47"/>
          </w:cols>
          <w:pgMar w:left="973" w:top="125" w:right="9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EXECUTIVE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In connection with the filing of the Quarterly Report on Form 10-Q/A for the three months ended June 30, 2021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spacing w:after="0" w:line="183" w:lineRule="exact"/>
        <w:rPr>
          <w:sz w:val="20"/>
          <w:szCs w:val="20"/>
          <w:color w:val="auto"/>
        </w:rPr>
      </w:pPr>
    </w:p>
    <w:p>
      <w:pPr>
        <w:ind w:left="540" w:hanging="277"/>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as amended; and</w:t>
      </w:r>
    </w:p>
    <w:p>
      <w:pPr>
        <w:spacing w:after="0" w:line="210" w:lineRule="exact"/>
        <w:rPr>
          <w:rFonts w:ascii="Times New Roman" w:cs="Times New Roman" w:eastAsia="Times New Roman" w:hAnsi="Times New Roman"/>
          <w:sz w:val="14"/>
          <w:szCs w:val="14"/>
          <w:color w:val="auto"/>
        </w:rPr>
      </w:pPr>
    </w:p>
    <w:p>
      <w:pPr>
        <w:ind w:left="540" w:hanging="277"/>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Date: August 12, 2022</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Stephen H. Willard</w:t>
            </w:r>
          </w:p>
        </w:tc>
      </w:tr>
      <w:tr>
        <w:trPr>
          <w:trHeight w:val="157"/>
        </w:trPr>
        <w:tc>
          <w:tcPr>
            <w:tcW w:w="4940" w:type="dxa"/>
            <w:vAlign w:val="bottom"/>
          </w:tcPr>
          <w:p>
            <w:pPr>
              <w:spacing w:after="0"/>
              <w:rPr>
                <w:sz w:val="13"/>
                <w:szCs w:val="13"/>
                <w:color w:val="auto"/>
              </w:rPr>
            </w:pPr>
          </w:p>
        </w:tc>
        <w:tc>
          <w:tcPr>
            <w:tcW w:w="498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Stephen H. Willard</w:t>
            </w:r>
          </w:p>
        </w:tc>
      </w:tr>
      <w:tr>
        <w:trPr>
          <w:trHeight w:val="194"/>
        </w:trPr>
        <w:tc>
          <w:tcPr>
            <w:tcW w:w="494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 (Principal Executive Officer)</w:t>
            </w:r>
          </w:p>
        </w:tc>
      </w:tr>
    </w:tbl>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63106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10630" cy="2159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ACTING CHIEF FINANCIAL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In connection with the filing of the Quarterly Report on Form 10-Q/A for the three months ended June 30, 2021 (the “Report”) by NRx Pharmaceuticals, Inc. (the “Registrant”), I, Seth Van Voorhees, as Chief Financial Officer of the Registrant hereby certify pursuant to 18 U.S.C. Section 1350, as adopted pursuant to Section 906 of the Sarbanes-Oxley Act of 2002, that, to the best of my knowledge: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1.the Report fully complies with the requirements of Section 13(a) or Section 15(d) of the Securities Exchange Act of 1934, as amended; and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2.the information contained in the Report fairly presents, in all material respects, the financial condition and results of operations of the Registrant.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Date: August 12, 2022</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Seth Van Voorhees</w:t>
            </w:r>
          </w:p>
        </w:tc>
      </w:tr>
      <w:tr>
        <w:trPr>
          <w:trHeight w:val="157"/>
        </w:trPr>
        <w:tc>
          <w:tcPr>
            <w:tcW w:w="4940" w:type="dxa"/>
            <w:vAlign w:val="bottom"/>
          </w:tcPr>
          <w:p>
            <w:pPr>
              <w:spacing w:after="0"/>
              <w:rPr>
                <w:sz w:val="13"/>
                <w:szCs w:val="13"/>
                <w:color w:val="auto"/>
              </w:rPr>
            </w:pPr>
          </w:p>
        </w:tc>
        <w:tc>
          <w:tcPr>
            <w:tcW w:w="498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Seth Van Voorhees</w:t>
            </w:r>
          </w:p>
        </w:tc>
      </w:tr>
      <w:tr>
        <w:trPr>
          <w:trHeight w:val="194"/>
        </w:trPr>
        <w:tc>
          <w:tcPr>
            <w:tcW w:w="494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 (Principal Financial Officer)</w:t>
            </w:r>
          </w:p>
        </w:tc>
      </w:tr>
    </w:tbl>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63106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10630" cy="21590"/>
                    </a:xfrm>
                    <a:prstGeom prst="rect">
                      <a:avLst/>
                    </a:prstGeom>
                    <a:noFill/>
                  </pic:spPr>
                </pic:pic>
              </a:graphicData>
            </a:graphic>
          </wp:anchor>
        </w:drawing>
      </w:r>
    </w:p>
    <w:sectPr>
      <w:pgSz w:w="11900" w:h="16838" w:orient="portrait"/>
      <w:cols w:equalWidth="0" w:num="1">
        <w:col w:w="9940"/>
      </w:cols>
      <w:pgMar w:left="980" w:top="125"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718"/>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9"/>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2022-08-13T15:26:33Z</dcterms:created>
  <dcterms:modified xsi:type="dcterms:W3CDTF">2022-08-13T15:26:33Z</dcterms:modified>
</cp:coreProperties>
</file>