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915_8k.htm"/>
      <w:bookmarkStart w:id="1" w:name="ksnrxp20260915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15,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60"/>
        <w:gridCol w:w="5480"/>
        <w:gridCol w:w="60"/>
      </w:tblGrid>
      <w:tr>
        <w:trPr/>
        <w:tc>
          <w:tcPr>
            <w:tcW w:w="60" w:type="dxa"/>
            <w:tcBorders/>
            <w:vAlign w:val="center"/>
          </w:tcPr>
          <w:p>
            <w:pPr>
              <w:pStyle w:val="TableContents"/>
              <w:bidi w:val="0"/>
              <w:spacing w:before="0" w:after="0"/>
              <w:ind w:left="0" w:right="0" w:hanging="0"/>
              <w:jc w:val="left"/>
              <w:rPr/>
            </w:pPr>
            <w:r>
              <w:rPr/>
              <w:t> </w:t>
            </w:r>
          </w:p>
        </w:tc>
        <w:tc>
          <w:tcPr>
            <w:tcW w:w="5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60"/>
        <w:gridCol w:w="2255"/>
        <w:gridCol w:w="60"/>
        <w:gridCol w:w="1145"/>
        <w:gridCol w:w="60"/>
        <w:gridCol w:w="1955"/>
        <w:gridCol w:w="60"/>
      </w:tblGrid>
      <w:tr>
        <w:trPr/>
        <w:tc>
          <w:tcPr>
            <w:tcW w:w="60" w:type="dxa"/>
            <w:tcBorders/>
            <w:vAlign w:val="center"/>
          </w:tcPr>
          <w:p>
            <w:pPr>
              <w:pStyle w:val="TableContents"/>
              <w:bidi w:val="0"/>
              <w:spacing w:before="0" w:after="0"/>
              <w:ind w:left="0" w:right="0" w:hanging="0"/>
              <w:jc w:val="left"/>
              <w:rPr/>
            </w:pPr>
            <w:r>
              <w:rPr/>
              <w:t> </w:t>
            </w:r>
          </w:p>
        </w:tc>
        <w:tc>
          <w:tcPr>
            <w:tcW w:w="2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vAlign w:val="center"/>
          </w:tcPr>
          <w:p>
            <w:pPr>
              <w:pStyle w:val="TableContents"/>
              <w:bidi w:val="0"/>
              <w:spacing w:before="0" w:after="0"/>
              <w:ind w:left="0" w:right="0" w:hanging="0"/>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3275"/>
        <w:gridCol w:w="60"/>
        <w:gridCol w:w="965"/>
        <w:gridCol w:w="60"/>
      </w:tblGrid>
      <w:tr>
        <w:trPr/>
        <w:tc>
          <w:tcPr>
            <w:tcW w:w="60" w:type="dxa"/>
            <w:tcBorders/>
            <w:vAlign w:val="center"/>
          </w:tcPr>
          <w:p>
            <w:pPr>
              <w:pStyle w:val="TableContents"/>
              <w:bidi w:val="0"/>
              <w:spacing w:before="0" w:after="0"/>
              <w:ind w:left="0" w:right="0" w:hanging="0"/>
              <w:jc w:val="left"/>
              <w:rPr/>
            </w:pPr>
            <w:r>
              <w:rPr/>
              <w:t> </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w:t>
            </w:r>
            <w:r>
              <w:rPr>
                <w:rFonts w:ascii="Times New Roman" w:hAnsi="Times New Roman"/>
                <w:caps w:val="false"/>
                <w:smallCaps w:val="false"/>
                <w:sz w:val="20"/>
              </w:rPr>
              <w:t> </w:t>
            </w:r>
            <w:r>
              <w:rPr>
                <w:rFonts w:ascii="Times New Roman" w:hAnsi="Times New Roman"/>
                <w:b/>
                <w:caps w:val="false"/>
                <w:smallCaps w:val="false"/>
                <w:sz w:val="20"/>
              </w:rPr>
              <w:t>Delaware</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19801</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(484)254-6134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230.424)</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3485"/>
        <w:gridCol w:w="60"/>
        <w:gridCol w:w="1415"/>
        <w:gridCol w:w="60"/>
        <w:gridCol w:w="3260"/>
      </w:tblGrid>
      <w:tr>
        <w:trPr/>
        <w:tc>
          <w:tcPr>
            <w:tcW w:w="3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34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pPr>
            <w:r>
              <w:rPr/>
              <w:t> </w:t>
            </w:r>
          </w:p>
        </w:tc>
      </w:tr>
      <w:tr>
        <w:trPr/>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vAlign w:val="center"/>
          </w:tcPr>
          <w:p>
            <w:pPr>
              <w:pStyle w:val="TableContents"/>
              <w:bidi w:val="0"/>
              <w:spacing w:before="0" w:after="0"/>
              <w:ind w:left="0" w:right="0" w:hanging="0"/>
              <w:jc w:val="left"/>
              <w:rPr/>
            </w:pPr>
            <w:r>
              <w:rPr/>
              <w:t> </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15, 2026, NRx Pharmaceuticals, Inc. (the “Company”) issued a press release announcing that it has received a written communication from the Director of Regulatory Operations of the FDA Office of Generic Drugs advising the Company that the amendment to its Abbreviated New Drug Application (ANDA), previously classified as a Major Amendment, has been reclassified as a Minor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acknowledgement letter revised the GDUFA goal date to November 10, 2026, citing that the reclassified amendment will not require a substantial expenditure of FDA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the press release is attached to this Current Report on Form 8-K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815"/>
        <w:gridCol w:w="60"/>
        <w:gridCol w:w="2945"/>
      </w:tblGrid>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9.01</w:t>
            </w:r>
          </w:p>
        </w:tc>
        <w:tc>
          <w:tcPr>
            <w:tcW w:w="60" w:type="dxa"/>
            <w:tcBorders/>
            <w:vAlign w:val="center"/>
          </w:tcPr>
          <w:p>
            <w:pPr>
              <w:pStyle w:val="TableContents"/>
              <w:bidi w:val="0"/>
              <w:spacing w:before="0" w:after="0"/>
              <w:ind w:left="0" w:right="0" w:hanging="0"/>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10"/>
        <w:gridCol w:w="6350"/>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0"/>
              <w:ind w:left="0" w:right="0" w:hanging="0"/>
              <w:jc w:val="left"/>
              <w:rPr/>
            </w:pPr>
            <w:r>
              <w:rPr/>
              <w:t> </w:t>
            </w:r>
          </w:p>
        </w:tc>
        <w:tc>
          <w:tcPr>
            <w:tcW w:w="6350"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350" w:type="dxa"/>
            <w:tcBorders/>
            <w:vAlign w:val="center"/>
          </w:tcPr>
          <w:p>
            <w:pPr>
              <w:pStyle w:val="TableContents"/>
              <w:bidi w:val="0"/>
              <w:spacing w:before="0" w:after="0"/>
              <w:ind w:left="0" w:right="0" w:hanging="0"/>
              <w:jc w:val="left"/>
              <w:rPr/>
            </w:pPr>
            <w:hyperlink w:anchor="ex_1016862.htm">
              <w:r>
                <w:rPr>
                  <w:rStyle w:val="InternetLink"/>
                  <w:rFonts w:ascii="Times New Roman" w:hAnsi="Times New Roman"/>
                  <w:caps w:val="false"/>
                  <w:smallCaps w:val="false"/>
                  <w:sz w:val="20"/>
                  <w:u w:val="single"/>
                </w:rPr>
                <w:t>Press Release dated September 15, 2026</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2120"/>
        <w:gridCol w:w="545"/>
        <w:gridCol w:w="1940"/>
        <w:gridCol w:w="60"/>
      </w:tblGrid>
      <w:tr>
        <w:trPr/>
        <w:tc>
          <w:tcPr>
            <w:tcW w:w="2120" w:type="dxa"/>
            <w:tcBorders/>
            <w:vAlign w:val="center"/>
          </w:tcPr>
          <w:p>
            <w:pPr>
              <w:pStyle w:val="TableContents"/>
              <w:bidi w:val="0"/>
              <w:spacing w:before="0" w:after="0"/>
              <w:ind w:left="0" w:right="0" w:hanging="0"/>
              <w:jc w:val="left"/>
              <w:rPr/>
            </w:pPr>
            <w:r>
              <w:rPr/>
              <w:t> </w:t>
            </w:r>
          </w:p>
        </w:tc>
        <w:tc>
          <w:tcPr>
            <w:tcW w:w="24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15,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16862.htm"/>
      <w:bookmarkStart w:id="3" w:name="ksex_101686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0668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9334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NRx Pharmaceuticals (Nasdaq: NRXP) Reports Update from the FDA Revising Previous Major Amendment to a Minor Amendment for Preservative-free Ketamine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WILMINGTON, Del., Sept. 15, 2026 (GLOBE NEWSWIRE) -- </w:t>
      </w:r>
      <w:r>
        <w:rPr>
          <w:rFonts w:ascii="Times New Roman" w:hAnsi="Times New Roman"/>
          <w:b/>
          <w:caps w:val="false"/>
          <w:smallCaps w:val="false"/>
          <w:sz w:val="20"/>
        </w:rPr>
        <w:t xml:space="preserve">NRx Pharmaceuticals, Inc. (Nasdaq: NRXP) ("NRx Pharmaceuticals", "NRx" or the "Company"), </w:t>
      </w:r>
      <w:r>
        <w:rPr>
          <w:rFonts w:ascii="Times New Roman" w:hAnsi="Times New Roman"/>
          <w:caps w:val="false"/>
          <w:smallCaps w:val="false"/>
          <w:sz w:val="20"/>
        </w:rPr>
        <w:t>a clinical-stage biopharmaceutical company, today announced that it has received a written communication from the Director of Regulatory Operations of the FDA Office of Generic Drugs advising the Company that the amendment to its Abbreviated New Drug Application (ANDA), previously classified as a Major Amendment, has been reclassified as a Minor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acknowledgement letter revised the GDUFA goal date to November 10, 2026, citing that the reclassified amendment will not require a substantial expenditure of FDA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On behalf of our patients and our shareholders, we are deeply appreciative of the speed with which FDA’s leadership has moved to advance the approval process of this strategic, drug shortage product,” said Dr. Jonathan Javitt, Chairman and CEO of NRx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NRx Pharmaceuticals,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 (</w:t>
      </w:r>
      <w:r>
        <w:rPr>
          <w:rFonts w:ascii="Times New Roman" w:hAnsi="Times New Roman"/>
          <w:caps w:val="false"/>
          <w:smallCaps w:val="false"/>
          <w:sz w:val="20"/>
          <w:u w:val="single"/>
        </w:rPr>
        <w:t>www.nrxpharma.com</w:t>
      </w:r>
      <w:r>
        <w:rPr>
          <w:rFonts w:ascii="Times New Roman" w:hAnsi="Times New Roman"/>
          <w:caps w:val="false"/>
          <w:smallCaps w:val="false"/>
          <w:sz w:val="20"/>
        </w:rPr>
        <w:t>),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with an application for the Commissioner's National Priority Voucher Program for the treatment of suicidal ideation in patients with depression, including bipolar depression.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HOPE Therapeutics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HOPE Therapeutics, a subsidiary of NRx Pharmaceuticals (Nasdaq: NRXP), is a provider of advanced psychiatric and neurological care, specializing in evidence-based treatments for major depressive disorder, anxiety, and other complex neurological conditions. Operating out of state-of-the-art clinics, HOPE Therapeutics focuses on improving patient outcomes through the application of modern medical technologies and clinical practices. For more information, please visit </w:t>
      </w:r>
      <w:r>
        <w:rPr>
          <w:rFonts w:ascii="Times New Roman" w:hAnsi="Times New Roman"/>
          <w:caps w:val="false"/>
          <w:smallCaps w:val="false"/>
          <w:sz w:val="20"/>
          <w:u w:val="single"/>
        </w:rPr>
        <w:t>www.hopetherapeutics.com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ZETA SURGICAL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ZETA SURGICAL is redefining the standard of care for image-guided surgery and targeted neuro-therapeutics. Its navigation and robotics platform applies advanced artificial intelligence and computer vision to enable high-accuracy image guidance across virtually any point of care in minutes, unlocking less invasive and more precise targeted therapies. The Zeta Navigation System, Zeta TMS Navigation System, and Zeta TMS Robotic System are cleared by the FDA and commercially available in the United States. For more information, please visit </w:t>
      </w:r>
      <w:r>
        <w:rPr>
          <w:rFonts w:ascii="Times New Roman" w:hAnsi="Times New Roman"/>
          <w:caps w:val="false"/>
          <w:smallCaps w:val="false"/>
          <w:sz w:val="20"/>
          <w:u w:val="single"/>
        </w:rPr>
        <w:t>www.zetasurgical.com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Media Contact -- </w:t>
      </w:r>
      <w:r>
        <w:rPr>
          <w:rFonts w:ascii="Times New Roman" w:hAnsi="Times New Roman"/>
          <w:caps w:val="false"/>
          <w:smallCaps w:val="false"/>
          <w:sz w:val="20"/>
          <w:u w:val="single"/>
        </w:rPr>
        <w:t>media@zetasurgical.com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These statements relate to future events or to the Company's future financial performance, and involve known and unknown risks, uncertainties and other factors that may cause the Company's actual results to be materially different from any future results, levels of activity, performance or achievements expressed or implied by these forward-looking statements.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 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the Company's most recent Annual Report on Form 10-K and other filings with the Securities and Exchange Commission. Investors and security holders are urged to read these documents free of charge on the SEC's website at </w:t>
      </w:r>
      <w:r>
        <w:rPr>
          <w:rFonts w:ascii="Times New Roman" w:hAnsi="Times New Roman"/>
          <w:caps w:val="false"/>
          <w:smallCaps w:val="false"/>
          <w:sz w:val="20"/>
          <w:u w:val="single"/>
        </w:rPr>
        <w:t>http://www.sec.gov</w:t>
      </w:r>
      <w:r>
        <w:rPr>
          <w:rFonts w:ascii="Times New Roman" w:hAnsi="Times New Roman"/>
          <w:caps w:val="false"/>
          <w:smallCaps w:val="false"/>
          <w:sz w:val="20"/>
        </w:rPr>
        <w:t>.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further information:</w:t>
      </w:r>
      <w:r>
        <w:rPr>
          <w:rFonts w:ascii="Times New Roman" w:hAnsi="Times New Roman"/>
          <w:caps w:val="false"/>
          <w:smallCaps w:val="false"/>
          <w:sz w:val="20"/>
        </w:rPr>
        <w:t xml:space="preserve"> </w:t>
        <w:br/>
        <w:t>Brian Korb</w:t>
        <w:br/>
        <w:t>Managing Partner, astr partners</w:t>
        <w:br/>
        <w:t>(917) 653-5122</w:t>
        <w:br/>
      </w:r>
      <w:r>
        <w:rPr>
          <w:rFonts w:ascii="Times New Roman" w:hAnsi="Times New Roman"/>
          <w:caps w:val="false"/>
          <w:smallCaps w:val="false"/>
          <w:sz w:val="20"/>
          <w:u w:val="single"/>
        </w:rPr>
        <w:t>brian.korb@astrpartners.com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1288</Words>
  <Characters>7719</Characters>
  <CharactersWithSpaces>9046</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