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nrxp20261014_8k.htm"/>
      <w:bookmarkStart w:id="1" w:name="ksnrxp20261014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October 16,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60"/>
        <w:gridCol w:w="5480"/>
        <w:gridCol w:w="60"/>
      </w:tblGrid>
      <w:tr>
        <w:trPr/>
        <w:tc>
          <w:tcPr>
            <w:tcW w:w="60" w:type="dxa"/>
            <w:tcBorders/>
            <w:vAlign w:val="center"/>
          </w:tcPr>
          <w:p>
            <w:pPr>
              <w:pStyle w:val="TableContents"/>
              <w:bidi w:val="0"/>
              <w:spacing w:before="0" w:after="0"/>
              <w:ind w:left="0" w:right="0" w:hanging="0"/>
              <w:jc w:val="left"/>
              <w:rPr/>
            </w:pPr>
            <w:r>
              <w:rPr/>
              <w:t> </w:t>
            </w:r>
          </w:p>
        </w:tc>
        <w:tc>
          <w:tcPr>
            <w:tcW w:w="54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NRX PHARMACEUTICALS,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60"/>
        <w:gridCol w:w="2255"/>
        <w:gridCol w:w="60"/>
        <w:gridCol w:w="1145"/>
        <w:gridCol w:w="60"/>
        <w:gridCol w:w="1955"/>
        <w:gridCol w:w="60"/>
      </w:tblGrid>
      <w:tr>
        <w:trPr/>
        <w:tc>
          <w:tcPr>
            <w:tcW w:w="60" w:type="dxa"/>
            <w:tcBorders/>
            <w:vAlign w:val="center"/>
          </w:tcPr>
          <w:p>
            <w:pPr>
              <w:pStyle w:val="TableContents"/>
              <w:bidi w:val="0"/>
              <w:spacing w:before="0" w:after="0"/>
              <w:ind w:left="0" w:right="0" w:hanging="0"/>
              <w:jc w:val="left"/>
              <w:rPr/>
            </w:pPr>
            <w:r>
              <w:rPr/>
              <w:t> </w:t>
            </w:r>
          </w:p>
        </w:tc>
        <w:tc>
          <w:tcPr>
            <w:tcW w:w="22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001-38302</w:t>
            </w:r>
          </w:p>
        </w:tc>
        <w:tc>
          <w:tcPr>
            <w:tcW w:w="60" w:type="dxa"/>
            <w:tcBorders/>
            <w:vAlign w:val="center"/>
          </w:tcPr>
          <w:p>
            <w:pPr>
              <w:pStyle w:val="TableContents"/>
              <w:bidi w:val="0"/>
              <w:spacing w:before="0" w:after="0"/>
              <w:ind w:left="0" w:right="0" w:hanging="0"/>
              <w:jc w:val="left"/>
              <w:rPr/>
            </w:pPr>
            <w:r>
              <w:rPr/>
              <w:t> </w:t>
            </w:r>
          </w:p>
        </w:tc>
        <w:tc>
          <w:tcPr>
            <w:tcW w:w="19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82-2844431</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60"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vAlign w:val="center"/>
          </w:tcPr>
          <w:p>
            <w:pPr>
              <w:pStyle w:val="TableContents"/>
              <w:bidi w:val="0"/>
              <w:spacing w:before="0" w:after="0"/>
              <w:ind w:left="0" w:right="0" w:hanging="0"/>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0"/>
        <w:gridCol w:w="3275"/>
        <w:gridCol w:w="60"/>
        <w:gridCol w:w="965"/>
        <w:gridCol w:w="60"/>
      </w:tblGrid>
      <w:tr>
        <w:trPr/>
        <w:tc>
          <w:tcPr>
            <w:tcW w:w="60" w:type="dxa"/>
            <w:tcBorders/>
            <w:vAlign w:val="center"/>
          </w:tcPr>
          <w:p>
            <w:pPr>
              <w:pStyle w:val="TableContents"/>
              <w:bidi w:val="0"/>
              <w:spacing w:before="0" w:after="0"/>
              <w:ind w:left="0" w:right="0" w:hanging="0"/>
              <w:jc w:val="left"/>
              <w:rPr/>
            </w:pPr>
            <w:r>
              <w:rPr/>
              <w:t> </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1201 Orange Street, Suite 600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Wilmington,</w:t>
            </w:r>
            <w:r>
              <w:rPr>
                <w:rFonts w:ascii="Times New Roman" w:hAnsi="Times New Roman"/>
                <w:caps w:val="false"/>
                <w:smallCaps w:val="false"/>
                <w:sz w:val="20"/>
              </w:rPr>
              <w:t> </w:t>
            </w: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19801</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(Zip Code)</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(484) 254-6134</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230.424)</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8280" w:type="dxa"/>
        <w:jc w:val="left"/>
        <w:tblInd w:w="0" w:type="dxa"/>
        <w:tblLayout w:type="fixed"/>
        <w:tblCellMar>
          <w:top w:w="0" w:type="dxa"/>
          <w:left w:w="0" w:type="dxa"/>
          <w:bottom w:w="0" w:type="dxa"/>
          <w:right w:w="0" w:type="dxa"/>
        </w:tblCellMar>
      </w:tblPr>
      <w:tblGrid>
        <w:gridCol w:w="3485"/>
        <w:gridCol w:w="60"/>
        <w:gridCol w:w="1415"/>
        <w:gridCol w:w="60"/>
        <w:gridCol w:w="3260"/>
      </w:tblGrid>
      <w:tr>
        <w:trPr/>
        <w:tc>
          <w:tcPr>
            <w:tcW w:w="34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exchange on which registered</w:t>
            </w:r>
          </w:p>
        </w:tc>
      </w:tr>
      <w:tr>
        <w:trPr/>
        <w:tc>
          <w:tcPr>
            <w:tcW w:w="34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pPr>
            <w:r>
              <w:rPr/>
              <w:t> </w:t>
            </w:r>
          </w:p>
        </w:tc>
      </w:tr>
      <w:tr>
        <w:trPr/>
        <w:tc>
          <w:tcPr>
            <w:tcW w:w="3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6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NRXP</w:t>
            </w:r>
          </w:p>
        </w:tc>
        <w:tc>
          <w:tcPr>
            <w:tcW w:w="60"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8.01 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2026 Annual Meeting of Stockholders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16, 2026, the board of directors (the “</w:t>
      </w:r>
      <w:r>
        <w:rPr>
          <w:rFonts w:ascii="Times New Roman" w:hAnsi="Times New Roman"/>
          <w:i/>
          <w:caps w:val="false"/>
          <w:smallCaps w:val="false"/>
          <w:sz w:val="20"/>
        </w:rPr>
        <w:t>Board</w:t>
      </w:r>
      <w:r>
        <w:rPr>
          <w:rFonts w:ascii="Times New Roman" w:hAnsi="Times New Roman"/>
          <w:caps w:val="false"/>
          <w:smallCaps w:val="false"/>
          <w:sz w:val="20"/>
        </w:rPr>
        <w:t>”) of NRx Pharmaceuticals, Inc. (the “</w:t>
      </w:r>
      <w:r>
        <w:rPr>
          <w:rFonts w:ascii="Times New Roman" w:hAnsi="Times New Roman"/>
          <w:i/>
          <w:caps w:val="false"/>
          <w:smallCaps w:val="false"/>
          <w:sz w:val="20"/>
        </w:rPr>
        <w:t>Company</w:t>
      </w:r>
      <w:r>
        <w:rPr>
          <w:rFonts w:ascii="Times New Roman" w:hAnsi="Times New Roman"/>
          <w:caps w:val="false"/>
          <w:smallCaps w:val="false"/>
          <w:sz w:val="20"/>
        </w:rPr>
        <w:t>”) established December 17, 2026 as the date of the 2026 Annual Meeting of Stockholders (the “</w:t>
      </w:r>
      <w:r>
        <w:rPr>
          <w:rFonts w:ascii="Times New Roman" w:hAnsi="Times New Roman"/>
          <w:i/>
          <w:caps w:val="false"/>
          <w:smallCaps w:val="false"/>
          <w:sz w:val="20"/>
        </w:rPr>
        <w:t>2026 Annual Meeting</w:t>
      </w:r>
      <w:r>
        <w:rPr>
          <w:rFonts w:ascii="Times New Roman" w:hAnsi="Times New Roman"/>
          <w:caps w:val="false"/>
          <w:smallCaps w:val="false"/>
          <w:sz w:val="20"/>
        </w:rPr>
        <w:t>”) and set October 28, 2026 as the record date for determining stockholders entitled to vote at the 2026 Annual Meeting. The 2026 Annual Meeting will be held at 10:00 a.m., Eastern Time, in a virtual-only format conducted by live webcast. Additional details regarding the 2026 Annual Meeting, including the matters to be voted upon and instructions for accessing the virtual meeting, will be set forth in the Company’s definitive proxy statement for the 2026 Annual Meeting to be filed with the U.S. Securities and Exchange Commission (the “</w:t>
      </w:r>
      <w:r>
        <w:rPr>
          <w:rFonts w:ascii="Times New Roman" w:hAnsi="Times New Roman"/>
          <w:i/>
          <w:caps w:val="false"/>
          <w:smallCaps w:val="false"/>
          <w:sz w:val="20"/>
        </w:rPr>
        <w:t>SEC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the date of the 2026 Annual Meeting is more than 30 days before the one-year anniversary of the Company’s 2025 annual meeting of stockholders, which was held on March 23, 2026 (the “</w:t>
      </w:r>
      <w:r>
        <w:rPr>
          <w:rFonts w:ascii="Times New Roman" w:hAnsi="Times New Roman"/>
          <w:i/>
          <w:caps w:val="false"/>
          <w:smallCaps w:val="false"/>
          <w:sz w:val="20"/>
        </w:rPr>
        <w:t>2025 Annual Meeting</w:t>
      </w:r>
      <w:r>
        <w:rPr>
          <w:rFonts w:ascii="Times New Roman" w:hAnsi="Times New Roman"/>
          <w:caps w:val="false"/>
          <w:smallCaps w:val="false"/>
          <w:sz w:val="20"/>
        </w:rPr>
        <w:t>”), the deadlines for stockholder proposals and director nominations for the 2026 Annual Meeting previously disclosed in the Company’s definitive proxy statement relating to the 2025 Annual Meeting no longer apply. Accordingly, the Company is providing the revised deadlines for the submission of stockholder proposals and director nominations in connection with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Rule 14a-8 Stockholder Proposals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Rule 14a-8 under the Exchange Act, because the date of the 2026 Annual Meeting has changed by more than 30 days from the anniversary of the 2025 Annual Meeting, the deadline for the receipt of stockholder proposals submitted pursuant to Rule 14a-8 for inclusion in the Company’s proxy materials for the 2026 Annual Meeting is a reasonable time before the Company begins to print and send its proxy materials for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has established the close of business on October 25, 2026 as the deadline for the Company’s receipt of any stockholder proposal submitted pursuant to Rule 14a-8 for inclusion in the Company’s proxy materials for the 2026 Annual Meeting. Any such proposal must be received by the Company at its principal executive offices by such deadline and otherwise comply with all applicable requirements of Rule 14a-8.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Stockholder proposals submitted pursuant to Rule 14a-8 should be directed to NRx Pharmaceuticals, Inc., Attention: Secretary, 1201 Orange Street, Suite 600, Wilmington, Delaware 19801.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Advance Notice of Stockholder Proposals and Director Nominations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Company’s Second Amended and Restated Bylaws, as amended (the “</w:t>
      </w:r>
      <w:r>
        <w:rPr>
          <w:rFonts w:ascii="Times New Roman" w:hAnsi="Times New Roman"/>
          <w:i/>
          <w:caps w:val="false"/>
          <w:smallCaps w:val="false"/>
          <w:sz w:val="20"/>
        </w:rPr>
        <w:t>Bylaws</w:t>
      </w:r>
      <w:r>
        <w:rPr>
          <w:rFonts w:ascii="Times New Roman" w:hAnsi="Times New Roman"/>
          <w:caps w:val="false"/>
          <w:smallCaps w:val="false"/>
          <w:sz w:val="20"/>
        </w:rPr>
        <w:t>”), in order for a stockholder proposal (other than a proposal submitted pursuant to Rule 14a-8 under the Exchange Act) or a stockholder director nomination to be properly brought before the 2026 Annual Meeting, the Company must receive proper written notice, delivered in accordance with the Bylaws, no later than the close of business on October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the 2026 Annual Meeting will be held more than 30 days before the one-year anniversary of the 2025 Annual Meeting, this deadline reflects the later of (i) the 90th day prior to the 2026 Annual Meeting and (ii) the 10th day following the day on which the Company first publicly disclosed the date of the 2026 Annual Meeting.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Stockholder written proposals and director nominations subject to the advance notice provisions of the Bylaws should be delivered to NRx Pharmaceuticals, Inc., c/o the Secretary, at the Company’s principal executive offices, in accordance with the Bylaws. Such notice must contain all information required by, and otherwise comply with, the Bylaws and applicable law. Any stockholder proposal or director nomination subject to the advance notice provisions of the Bylaws that is received after the close of business on October 25, 2026 will be considered untimely under the Bylaws and will not be considered at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Universal Proxy Requirements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complying with the advance notice requirements of the Bylaws described above, any stockholder who intends to solicit proxies in support of director nominees other than the Company’s nominees must comply with Rule 14a-19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the date of the 2026 Annual Meeting is more than 30 calendar days before the anniversary of the 2025 Annual Meeting, pursuant to Rule 14a-19(b), any such stockholder must provide the Company with the notice required by Rule 14a-19 no later than the later of (i) 60 calendar days prior to the date of the 2026 Annual Meeting and (ii) the 10th calendar day following the day on which the Company first publicly announced the date of the 2026 Annual Meeting. Accordingly, the deadline for providing notice pursuant to Rule 14a-19 is October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9.01</w:t>
            </w:r>
          </w:p>
        </w:tc>
        <w:tc>
          <w:tcPr>
            <w:tcW w:w="29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w:t>
      </w:r>
      <w:r>
        <w:rPr>
          <w:rFonts w:ascii="Times New Roman" w:hAnsi="Times New Roman"/>
          <w:caps w:val="false"/>
          <w:smallCaps w:val="false"/>
          <w:sz w:val="20"/>
        </w:rPr>
        <w:t> </w:t>
      </w:r>
      <w:r>
        <w:rPr>
          <w:rFonts w:ascii="Times New Roman" w:hAnsi="Times New Roman"/>
          <w:b/>
          <w:i/>
          <w:caps w:val="false"/>
          <w:smallCaps w:val="false"/>
          <w:sz w:val="20"/>
        </w:rPr>
        <w:t>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10"/>
        <w:gridCol w:w="6350"/>
      </w:tblGrid>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w:t>
            </w:r>
          </w:p>
        </w:tc>
        <w:tc>
          <w:tcPr>
            <w:tcW w:w="63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vAlign w:val="center"/>
          </w:tcPr>
          <w:p>
            <w:pPr>
              <w:pStyle w:val="TableContents"/>
              <w:bidi w:val="0"/>
              <w:spacing w:before="0" w:after="0"/>
              <w:ind w:left="0" w:right="0" w:hanging="0"/>
              <w:jc w:val="left"/>
              <w:rPr/>
            </w:pPr>
            <w:r>
              <w:rPr/>
              <w:t> </w:t>
            </w:r>
          </w:p>
        </w:tc>
        <w:tc>
          <w:tcPr>
            <w:tcW w:w="6350"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55" w:type="dxa"/>
        <w:jc w:val="left"/>
        <w:tblInd w:w="0" w:type="dxa"/>
        <w:tblLayout w:type="fixed"/>
        <w:tblCellMar>
          <w:top w:w="0" w:type="dxa"/>
          <w:left w:w="0" w:type="dxa"/>
          <w:bottom w:w="0" w:type="dxa"/>
          <w:right w:w="0" w:type="dxa"/>
        </w:tblCellMar>
      </w:tblPr>
      <w:tblGrid>
        <w:gridCol w:w="1910"/>
        <w:gridCol w:w="545"/>
        <w:gridCol w:w="1940"/>
        <w:gridCol w:w="60"/>
      </w:tblGrid>
      <w:tr>
        <w:trPr/>
        <w:tc>
          <w:tcPr>
            <w:tcW w:w="1910" w:type="dxa"/>
            <w:tcBorders/>
            <w:vAlign w:val="center"/>
          </w:tcPr>
          <w:p>
            <w:pPr>
              <w:pStyle w:val="TableContents"/>
              <w:bidi w:val="0"/>
              <w:spacing w:before="0" w:after="0"/>
              <w:ind w:left="0" w:right="0" w:hanging="0"/>
              <w:jc w:val="left"/>
              <w:rPr/>
            </w:pPr>
            <w:r>
              <w:rPr/>
              <w:t> </w:t>
            </w:r>
          </w:p>
        </w:tc>
        <w:tc>
          <w:tcPr>
            <w:tcW w:w="248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Pharmaceuticals, Inc.</w:t>
            </w:r>
          </w:p>
        </w:tc>
        <w:tc>
          <w:tcPr>
            <w:tcW w:w="60"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16, 2026</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i/>
                <w:caps w:val="false"/>
                <w:smallCaps w:val="false"/>
                <w:sz w:val="20"/>
              </w:rPr>
              <w:t>Jonathan Javitt</w:t>
            </w:r>
          </w:p>
        </w:tc>
        <w:tc>
          <w:tcPr>
            <w:tcW w:w="60"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Jonathan Javitt</w:t>
            </w:r>
          </w:p>
        </w:tc>
        <w:tc>
          <w:tcPr>
            <w:tcW w:w="60"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1145</Words>
  <Characters>6193</Characters>
  <CharactersWithSpaces>7369</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