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960" w:right="2280" w:hanging="3952"/>
        <w:spacing w:after="0" w:line="493" w:lineRule="auto"/>
        <w:tabs>
          <w:tab w:leader="none" w:pos="3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40" w:type="dxa"/>
            <w:vAlign w:val="bottom"/>
          </w:tcPr>
          <w:p>
            <w:pPr>
              <w:spacing w:after="0"/>
              <w:rPr>
                <w:sz w:val="17"/>
                <w:szCs w:val="17"/>
                <w:color w:val="auto"/>
              </w:rPr>
            </w:pPr>
          </w:p>
        </w:tc>
        <w:tc>
          <w:tcPr>
            <w:tcW w:w="4500" w:type="dxa"/>
            <w:vAlign w:val="bottom"/>
            <w:gridSpan w:val="5"/>
          </w:tcPr>
          <w:p>
            <w:pPr>
              <w:ind w:left="40"/>
              <w:spacing w:after="0"/>
              <w:rPr>
                <w:sz w:val="20"/>
                <w:szCs w:val="20"/>
                <w:color w:val="auto"/>
              </w:rPr>
            </w:pPr>
            <w:r>
              <w:rPr>
                <w:rFonts w:ascii="Arial" w:cs="Arial" w:eastAsia="Arial" w:hAnsi="Arial"/>
                <w:sz w:val="18"/>
                <w:szCs w:val="18"/>
                <w:b w:val="1"/>
                <w:bCs w:val="1"/>
                <w:color w:val="auto"/>
              </w:rPr>
              <w:t>to</w:t>
            </w:r>
          </w:p>
        </w:tc>
        <w:tc>
          <w:tcPr>
            <w:tcW w:w="3580" w:type="dxa"/>
            <w:vAlign w:val="bottom"/>
          </w:tcPr>
          <w:p>
            <w:pPr>
              <w:spacing w:after="0"/>
              <w:rPr>
                <w:sz w:val="17"/>
                <w:szCs w:val="17"/>
                <w:color w:val="auto"/>
              </w:rPr>
            </w:pPr>
          </w:p>
        </w:tc>
      </w:tr>
      <w:tr>
        <w:trPr>
          <w:trHeight w:val="450"/>
        </w:trPr>
        <w:tc>
          <w:tcPr>
            <w:tcW w:w="2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Commission File Number: 001-38302</w:t>
            </w:r>
          </w:p>
        </w:tc>
        <w:tc>
          <w:tcPr>
            <w:tcW w:w="3580" w:type="dxa"/>
            <w:vAlign w:val="bottom"/>
          </w:tcPr>
          <w:p>
            <w:pPr>
              <w:spacing w:after="0"/>
              <w:rPr>
                <w:sz w:val="24"/>
                <w:szCs w:val="24"/>
                <w:color w:val="auto"/>
              </w:rPr>
            </w:pPr>
          </w:p>
        </w:tc>
      </w:tr>
      <w:tr>
        <w:trPr>
          <w:trHeight w:val="420"/>
        </w:trPr>
        <w:tc>
          <w:tcPr>
            <w:tcW w:w="11240" w:type="dxa"/>
            <w:vAlign w:val="bottom"/>
            <w:gridSpan w:val="8"/>
          </w:tcPr>
          <w:p>
            <w:pPr>
              <w:jc w:val="center"/>
              <w:spacing w:after="0"/>
              <w:rPr>
                <w:sz w:val="20"/>
                <w:szCs w:val="20"/>
                <w:color w:val="auto"/>
              </w:rPr>
            </w:pPr>
            <w:r>
              <w:rPr>
                <w:rFonts w:ascii="Arial" w:cs="Arial" w:eastAsia="Arial" w:hAnsi="Arial"/>
                <w:sz w:val="32"/>
                <w:szCs w:val="32"/>
                <w:b w:val="1"/>
                <w:bCs w:val="1"/>
                <w:color w:val="auto"/>
              </w:rPr>
              <w:t>BIG ROCK PARTNERS ACQUISITION CORP.</w:t>
            </w:r>
          </w:p>
        </w:tc>
      </w:tr>
      <w:tr>
        <w:trPr>
          <w:trHeight w:val="228"/>
        </w:trPr>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gridSpan w:val="4"/>
          </w:tcPr>
          <w:p>
            <w:pPr>
              <w:jc w:val="center"/>
              <w:ind w:left="11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3580" w:type="dxa"/>
            <w:vAlign w:val="bottom"/>
          </w:tcPr>
          <w:p>
            <w:pPr>
              <w:spacing w:after="0"/>
              <w:rPr>
                <w:sz w:val="19"/>
                <w:szCs w:val="19"/>
                <w:color w:val="auto"/>
              </w:rPr>
            </w:pPr>
          </w:p>
        </w:tc>
      </w:tr>
      <w:tr>
        <w:trPr>
          <w:trHeight w:val="293"/>
        </w:trPr>
        <w:tc>
          <w:tcPr>
            <w:tcW w:w="2320" w:type="dxa"/>
            <w:vAlign w:val="bottom"/>
          </w:tcPr>
          <w:p>
            <w:pPr>
              <w:spacing w:after="0"/>
              <w:rPr>
                <w:sz w:val="24"/>
                <w:szCs w:val="24"/>
                <w:color w:val="auto"/>
              </w:rPr>
            </w:pPr>
          </w:p>
        </w:tc>
        <w:tc>
          <w:tcPr>
            <w:tcW w:w="534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w w:val="88"/>
              </w:rPr>
              <w:t>Delaware</w:t>
            </w:r>
          </w:p>
        </w:tc>
        <w:tc>
          <w:tcPr>
            <w:tcW w:w="3580" w:type="dxa"/>
            <w:vAlign w:val="bottom"/>
          </w:tcPr>
          <w:p>
            <w:pPr>
              <w:jc w:val="center"/>
              <w:ind w:right="1952"/>
              <w:spacing w:after="0"/>
              <w:rPr>
                <w:sz w:val="20"/>
                <w:szCs w:val="20"/>
                <w:color w:val="auto"/>
              </w:rPr>
            </w:pPr>
            <w:r>
              <w:rPr>
                <w:rFonts w:ascii="Arial" w:cs="Arial" w:eastAsia="Arial" w:hAnsi="Arial"/>
                <w:sz w:val="18"/>
                <w:szCs w:val="18"/>
                <w:b w:val="1"/>
                <w:bCs w:val="1"/>
                <w:color w:val="auto"/>
                <w:w w:val="89"/>
              </w:rPr>
              <w:t>82-2844431</w:t>
            </w:r>
          </w:p>
        </w:tc>
      </w:tr>
      <w:tr>
        <w:trPr>
          <w:trHeight w:val="202"/>
        </w:trPr>
        <w:tc>
          <w:tcPr>
            <w:tcW w:w="54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b w:val="1"/>
                <w:bCs w:val="1"/>
                <w:color w:val="auto"/>
                <w:w w:val="88"/>
              </w:rPr>
              <w:t>(State or other jurisdiction of</w:t>
            </w:r>
          </w:p>
        </w:tc>
        <w:tc>
          <w:tcPr>
            <w:tcW w:w="2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952"/>
              <w:spacing w:after="0" w:line="201" w:lineRule="exact"/>
              <w:rPr>
                <w:sz w:val="20"/>
                <w:szCs w:val="20"/>
                <w:color w:val="auto"/>
              </w:rPr>
            </w:pPr>
            <w:r>
              <w:rPr>
                <w:rFonts w:ascii="Arial" w:cs="Arial" w:eastAsia="Arial" w:hAnsi="Arial"/>
                <w:sz w:val="18"/>
                <w:szCs w:val="18"/>
                <w:b w:val="1"/>
                <w:bCs w:val="1"/>
                <w:color w:val="auto"/>
                <w:w w:val="91"/>
              </w:rPr>
              <w:t>(I.R.S. Employer</w:t>
            </w:r>
          </w:p>
        </w:tc>
      </w:tr>
      <w:tr>
        <w:trPr>
          <w:trHeight w:val="228"/>
        </w:trPr>
        <w:tc>
          <w:tcPr>
            <w:tcW w:w="766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w w:val="89"/>
              </w:rPr>
              <w:t>incorporation or organization)</w:t>
            </w:r>
          </w:p>
        </w:tc>
        <w:tc>
          <w:tcPr>
            <w:tcW w:w="3580" w:type="dxa"/>
            <w:vAlign w:val="bottom"/>
          </w:tcPr>
          <w:p>
            <w:pPr>
              <w:jc w:val="center"/>
              <w:ind w:right="1952"/>
              <w:spacing w:after="0"/>
              <w:rPr>
                <w:sz w:val="20"/>
                <w:szCs w:val="20"/>
                <w:color w:val="auto"/>
              </w:rPr>
            </w:pPr>
            <w:r>
              <w:rPr>
                <w:rFonts w:ascii="Arial" w:cs="Arial" w:eastAsia="Arial" w:hAnsi="Arial"/>
                <w:sz w:val="18"/>
                <w:szCs w:val="18"/>
                <w:b w:val="1"/>
                <w:bCs w:val="1"/>
                <w:color w:val="auto"/>
                <w:w w:val="90"/>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2645 N. Federal Highway, Suite 230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Delray Beach, Florida 33483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(310) 734-2300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06" w:right="339" w:bottom="146"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16" w:lineRule="exact"/>
        <w:rPr>
          <w:sz w:val="24"/>
          <w:szCs w:val="24"/>
          <w:color w:val="auto"/>
        </w:rPr>
      </w:pPr>
    </w:p>
    <w:p>
      <w:pPr>
        <w:spacing w:after="0" w:line="257" w:lineRule="auto"/>
        <w:rPr>
          <w:sz w:val="20"/>
          <w:szCs w:val="20"/>
          <w:color w:val="auto"/>
        </w:rPr>
      </w:pPr>
      <w:r>
        <w:rPr>
          <w:rFonts w:ascii="Arial" w:cs="Arial" w:eastAsia="Arial" w:hAnsi="Arial"/>
          <w:sz w:val="18"/>
          <w:szCs w:val="18"/>
          <w:b w:val="1"/>
          <w:bCs w:val="1"/>
          <w:color w:val="auto"/>
        </w:rPr>
        <w:t>Units, each consisting of one share of Common Stock, one Right and one-half of one Warrant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9" w:lineRule="exact"/>
        <w:rPr>
          <w:sz w:val="24"/>
          <w:szCs w:val="24"/>
          <w:color w:val="auto"/>
        </w:rPr>
      </w:pPr>
    </w:p>
    <w:p>
      <w:pPr>
        <w:spacing w:after="0" w:line="250" w:lineRule="auto"/>
        <w:rPr>
          <w:sz w:val="20"/>
          <w:szCs w:val="20"/>
          <w:color w:val="auto"/>
        </w:rPr>
      </w:pPr>
      <w:r>
        <w:rPr>
          <w:rFonts w:ascii="Arial" w:cs="Arial" w:eastAsia="Arial" w:hAnsi="Arial"/>
          <w:sz w:val="18"/>
          <w:szCs w:val="18"/>
          <w:b w:val="1"/>
          <w:bCs w:val="1"/>
          <w:color w:val="auto"/>
        </w:rPr>
        <w:t>Rights, exchangeable into one-tenth of one share of Common Stock</w:t>
      </w:r>
    </w:p>
    <w:p>
      <w:pPr>
        <w:spacing w:after="0" w:line="1" w:lineRule="exact"/>
        <w:rPr>
          <w:sz w:val="24"/>
          <w:szCs w:val="24"/>
          <w:color w:val="auto"/>
        </w:rPr>
      </w:pPr>
    </w:p>
    <w:p>
      <w:pPr>
        <w:spacing w:after="0" w:line="260" w:lineRule="auto"/>
        <w:rPr>
          <w:sz w:val="20"/>
          <w:szCs w:val="20"/>
          <w:color w:val="auto"/>
        </w:rPr>
      </w:pPr>
      <w:r>
        <w:rPr>
          <w:rFonts w:ascii="Arial" w:cs="Arial" w:eastAsia="Arial" w:hAnsi="Arial"/>
          <w:sz w:val="18"/>
          <w:szCs w:val="18"/>
          <w:b w:val="1"/>
          <w:bCs w:val="1"/>
          <w:color w:val="auto"/>
        </w:rPr>
        <w:t>Warrants, each whole warrant exercisable for one share of Common Stock at an exercise price of $11.50</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22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322"/>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BRPAU</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32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BRPA</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32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BRPAR</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32"/>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BRPAW</w:t>
            </w:r>
          </w:p>
        </w:tc>
        <w:tc>
          <w:tcPr>
            <w:tcW w:w="22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11" w:lineRule="exact"/>
        <w:rPr>
          <w:sz w:val="24"/>
          <w:szCs w:val="24"/>
          <w:color w:val="auto"/>
        </w:rPr>
      </w:pPr>
    </w:p>
    <w:p>
      <w:pPr>
        <w:sectPr>
          <w:pgSz w:w="11900" w:h="16838" w:orient="portrait"/>
          <w:cols w:equalWidth="0" w:num="2">
            <w:col w:w="5000" w:space="220"/>
            <w:col w:w="6020"/>
          </w:cols>
          <w:pgMar w:left="320" w:top="706" w:right="339" w:bottom="14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9" w:lineRule="exact"/>
        <w:rPr>
          <w:sz w:val="24"/>
          <w:szCs w:val="24"/>
          <w:color w:val="auto"/>
        </w:rPr>
      </w:pPr>
    </w:p>
    <w:p>
      <w:pPr>
        <w:spacing w:after="0" w:line="207" w:lineRule="exact"/>
        <w:tabs>
          <w:tab w:leader="none" w:pos="8380" w:val="left"/>
          <w:tab w:leader="none" w:pos="89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8540" w:val="left"/>
          <w:tab w:leader="none" w:pos="91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1820"/>
              <w:spacing w:after="0"/>
              <w:rPr>
                <w:sz w:val="20"/>
                <w:szCs w:val="20"/>
                <w:color w:val="auto"/>
              </w:rPr>
            </w:pPr>
            <w:r>
              <w:rPr>
                <w:rFonts w:ascii="Arial" w:cs="Arial" w:eastAsia="Arial" w:hAnsi="Arial"/>
                <w:sz w:val="18"/>
                <w:szCs w:val="18"/>
                <w:color w:val="auto"/>
              </w:rPr>
              <w:t>Smaller reporting company</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740" w:type="dxa"/>
            <w:vAlign w:val="bottom"/>
          </w:tcPr>
          <w:p>
            <w:pPr>
              <w:ind w:left="1820"/>
              <w:spacing w:after="0"/>
              <w:rPr>
                <w:sz w:val="20"/>
                <w:szCs w:val="20"/>
                <w:color w:val="auto"/>
              </w:rPr>
            </w:pPr>
            <w:r>
              <w:rPr>
                <w:rFonts w:ascii="Arial" w:cs="Arial" w:eastAsia="Arial" w:hAnsi="Arial"/>
                <w:sz w:val="18"/>
                <w:szCs w:val="18"/>
                <w:color w:val="auto"/>
              </w:rPr>
              <w:t>Emerging growth company</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706" w:right="339" w:bottom="146" w:gutter="0" w:footer="0" w:header="0"/>
          <w:type w:val="continuous"/>
        </w:sectPr>
      </w:pPr>
    </w:p>
    <w:bookmarkStart w:id="1" w:name="page2"/>
    <w:bookmarkEnd w:id="1"/>
    <w:p>
      <w:pPr>
        <w:jc w:val="both"/>
        <w:spacing w:after="0" w:line="306" w:lineRule="auto"/>
        <w:rPr>
          <w:sz w:val="20"/>
          <w:szCs w:val="20"/>
          <w:color w:val="auto"/>
        </w:rPr>
      </w:pPr>
      <w:r>
        <w:rPr>
          <w:rFonts w:ascii="Arial" w:cs="Arial" w:eastAsia="Arial" w:hAnsi="Arial"/>
          <w:sz w:val="16"/>
          <w:szCs w:val="16"/>
          <w:color w:val="auto"/>
        </w:rPr>
        <w:t>The aggregate market value of the voting and non-voting common stock outstanding, other than shares held by persons who may be deemed affiliates of the registrant, computed by reference to the closing price for the common stock as of the last business day of the registrant’s most recently completed second fiscal quarter ($10.50 as of June 30, 2020), as reported on the Nasdaq Capital Market, was approximately $6.1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30, 2021, was 2,688,242.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20" w:type="dxa"/>
            <w:vAlign w:val="bottom"/>
          </w:tcPr>
          <w:p>
            <w:pPr>
              <w:ind w:left="3120"/>
              <w:spacing w:after="0"/>
              <w:rPr>
                <w:sz w:val="20"/>
                <w:szCs w:val="20"/>
                <w:color w:val="auto"/>
              </w:rPr>
            </w:pPr>
            <w:r>
              <w:rPr>
                <w:rFonts w:ascii="Arial" w:cs="Arial" w:eastAsia="Arial" w:hAnsi="Arial"/>
                <w:sz w:val="18"/>
                <w:szCs w:val="18"/>
                <w:b w:val="1"/>
                <w:bCs w:val="1"/>
                <w:color w:val="auto"/>
              </w:rPr>
              <w:t>BIG ROCK PARTNERS ACQUISITION CORP.</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20" w:type="dxa"/>
            <w:vAlign w:val="bottom"/>
          </w:tcPr>
          <w:p>
            <w:pPr>
              <w:ind w:left="3320"/>
              <w:spacing w:after="0"/>
              <w:rPr>
                <w:sz w:val="20"/>
                <w:szCs w:val="20"/>
                <w:color w:val="auto"/>
              </w:rPr>
            </w:pPr>
            <w:r>
              <w:rPr>
                <w:rFonts w:ascii="Arial" w:cs="Arial" w:eastAsia="Arial" w:hAnsi="Arial"/>
                <w:sz w:val="18"/>
                <w:szCs w:val="18"/>
                <w:b w:val="1"/>
                <w:bCs w:val="1"/>
                <w:color w:val="auto"/>
              </w:rPr>
              <w:t>TABLE OF CONTENTS FOR FORM 10-K</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9"/>
              </w:rPr>
              <w:t>PART I</w:t>
            </w:r>
          </w:p>
        </w:tc>
        <w:tc>
          <w:tcPr>
            <w:tcW w:w="6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tcPr>
          <w:p>
            <w:pPr>
              <w:spacing w:after="0"/>
              <w:rPr>
                <w:sz w:val="20"/>
                <w:szCs w:val="20"/>
                <w:color w:val="auto"/>
              </w:rPr>
            </w:pPr>
            <w:r>
              <w:rPr>
                <w:rFonts w:ascii="Arial" w:cs="Arial" w:eastAsia="Arial" w:hAnsi="Arial"/>
                <w:sz w:val="18"/>
                <w:szCs w:val="18"/>
                <w:color w:val="auto"/>
              </w:rPr>
              <w:t>Item 1. Business.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 1A Risk Factors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tcPr>
          <w:p>
            <w:pPr>
              <w:spacing w:after="0"/>
              <w:rPr>
                <w:sz w:val="20"/>
                <w:szCs w:val="20"/>
                <w:color w:val="auto"/>
              </w:rPr>
            </w:pPr>
            <w:r>
              <w:rPr>
                <w:rFonts w:ascii="Arial" w:cs="Arial" w:eastAsia="Arial" w:hAnsi="Arial"/>
                <w:sz w:val="18"/>
                <w:szCs w:val="18"/>
                <w:color w:val="auto"/>
              </w:rPr>
              <w:t>Item 1B. Unresolved Staff Comments.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
          </w:tcPr>
          <w:p>
            <w:pPr>
              <w:spacing w:after="0"/>
              <w:rPr>
                <w:sz w:val="20"/>
                <w:szCs w:val="20"/>
                <w:color w:val="auto"/>
              </w:rPr>
            </w:pPr>
            <w:r>
              <w:rPr>
                <w:rFonts w:ascii="Arial" w:cs="Arial" w:eastAsia="Arial" w:hAnsi="Arial"/>
                <w:sz w:val="18"/>
                <w:szCs w:val="18"/>
                <w:color w:val="auto"/>
              </w:rPr>
              <w:t>Legal Proceedings.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Mine Safety Disclosures.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1"/>
              </w:rPr>
              <w:t>PART II</w:t>
            </w:r>
          </w:p>
        </w:tc>
        <w:tc>
          <w:tcPr>
            <w:tcW w:w="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gridSpan w:val="2"/>
          </w:tcPr>
          <w:p>
            <w:pPr>
              <w:spacing w:after="0"/>
              <w:rPr>
                <w:sz w:val="20"/>
                <w:szCs w:val="20"/>
                <w:color w:val="auto"/>
              </w:rPr>
            </w:pPr>
            <w:r>
              <w:rPr>
                <w:rFonts w:ascii="Arial" w:cs="Arial" w:eastAsia="Arial" w:hAnsi="Arial"/>
                <w:sz w:val="18"/>
                <w:szCs w:val="18"/>
                <w:color w:val="auto"/>
              </w:rPr>
              <w:t>Selected Financial Data</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w w:val="95"/>
              </w:rPr>
              <w:t>Item 7A.</w:t>
            </w:r>
          </w:p>
        </w:tc>
        <w:tc>
          <w:tcPr>
            <w:tcW w:w="912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Statements and Supplementary Data.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Item 9A.</w:t>
            </w:r>
          </w:p>
        </w:tc>
        <w:tc>
          <w:tcPr>
            <w:tcW w:w="9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w w:val="95"/>
              </w:rPr>
              <w:t>Item 9B.</w:t>
            </w:r>
          </w:p>
        </w:tc>
        <w:tc>
          <w:tcPr>
            <w:tcW w:w="912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PART III</w:t>
            </w:r>
          </w:p>
        </w:tc>
        <w:tc>
          <w:tcPr>
            <w:tcW w:w="9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89"/>
              </w:rPr>
              <w:t>Item 10.</w:t>
            </w:r>
          </w:p>
        </w:tc>
        <w:tc>
          <w:tcPr>
            <w:tcW w:w="60" w:type="dxa"/>
            <w:vAlign w:val="bottom"/>
          </w:tcPr>
          <w:p>
            <w:pPr>
              <w:spacing w:after="0"/>
              <w:rPr>
                <w:sz w:val="18"/>
                <w:szCs w:val="18"/>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 11. Executive Compensation.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89"/>
              </w:rPr>
              <w:t>Item 12.</w:t>
            </w:r>
          </w:p>
        </w:tc>
        <w:tc>
          <w:tcPr>
            <w:tcW w:w="60" w:type="dxa"/>
            <w:vAlign w:val="bottom"/>
          </w:tcPr>
          <w:p>
            <w:pPr>
              <w:spacing w:after="0"/>
              <w:rPr>
                <w:sz w:val="18"/>
                <w:szCs w:val="18"/>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Item 13.</w:t>
            </w:r>
          </w:p>
        </w:tc>
        <w:tc>
          <w:tcPr>
            <w:tcW w:w="60" w:type="dxa"/>
            <w:vAlign w:val="bottom"/>
            <w:shd w:val="clear" w:color="auto" w:fill="CCEEFF"/>
          </w:tcPr>
          <w:p>
            <w:pPr>
              <w:spacing w:after="0"/>
              <w:rPr>
                <w:sz w:val="18"/>
                <w:szCs w:val="18"/>
                <w:color w:val="auto"/>
              </w:rPr>
            </w:pP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89"/>
              </w:rPr>
              <w:t>Item 14.</w:t>
            </w:r>
          </w:p>
        </w:tc>
        <w:tc>
          <w:tcPr>
            <w:tcW w:w="60" w:type="dxa"/>
            <w:vAlign w:val="bottom"/>
          </w:tcPr>
          <w:p>
            <w:pPr>
              <w:spacing w:after="0"/>
              <w:rPr>
                <w:sz w:val="18"/>
                <w:szCs w:val="18"/>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PART IV</w:t>
            </w:r>
          </w:p>
        </w:tc>
        <w:tc>
          <w:tcPr>
            <w:tcW w:w="9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tcPr>
          <w:p>
            <w:pPr>
              <w:spacing w:after="0"/>
              <w:rPr>
                <w:sz w:val="20"/>
                <w:szCs w:val="20"/>
                <w:color w:val="auto"/>
              </w:rPr>
            </w:pPr>
            <w:r>
              <w:rPr>
                <w:rFonts w:ascii="Arial" w:cs="Arial" w:eastAsia="Arial" w:hAnsi="Arial"/>
                <w:sz w:val="18"/>
                <w:szCs w:val="18"/>
                <w:color w:val="auto"/>
              </w:rPr>
              <w:t>Item 15. Exhibits, Financial Statement Schedules</w:t>
            </w: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 16. Form 10-K Summary.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i w:val="1"/>
          <w:iCs w:val="1"/>
          <w:color w:val="auto"/>
        </w:rPr>
        <w:t>This business description should be read in conjunction with our audited financial statements and accompanying notes thereto appearing elsewhere in this Annual Report on Form 10-K for the year ended December 31, 2020 (the “Form 10-K”), which are incorporated herein by this reference.</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References in this Form 10-K to “we,” “us” or “our company” refer to Big Rock Partners Acquisition Corp. References in this Form 10-K to our “public shares” are to shares of our common stock sold as part of the units in our initial public offering (whether they are purchased in our initial public offering or thereafter in the open market) and references to “public stockholders” refer to the holders of our public shares, including our Sponsor (as defined below), officers and directors to the extent they purchase public shares, provided that their status as “public stockholders” shall only exist with respect to such public shares. References in this Form 10-K to our “management” or our “management team” refer to our officers and directors and references to our “Sponsor” or our “initial stockholder” refer to Big Rock Partners Sponsor, LLC, a company affiliated with our Chairman, President and Chief Executive Officer. References in this Form 10-K to our “founder’s shares” refer to our shares of common stock initially purchased by our Sponsor in a private sale prior to our initial public offering. References in this Form 10-K to our “private placement units” refer to the units sold in a private placement simultaneously with the closing of our initial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 blank check company formed pursuant to the laws of the State of Delaware on September 18, 2017 for the purpose of entering into a merger, stock exchange, asset acquisition, stock purchase, recapitalization, reorganization or other similar business combination with one or more businesses or entities. On December 13, 2020, we entered into an Agreement and Plan of Merger (as amended from time to time, the “Merger Agreement”) with NeuroRx, Inc., a Delaware corporation (“NeuroRx”) and Big Rock Merger Corp., a Delaware corporation and wholly-owned subsidiary of ours (“Merger Sub”), providing for the merger of Merger Sub with and into NeuroRx (the “Merger”), with NeuroRx surviving the Merger and becoming a wholly-owned subsidiary of us. As a result of the Merger, and upon consummation of the Merger and the other transactions contemplated by the Merger Agreement (“Transactions”), NeuroRx will become a wholly-owned subsidiary of the Company, with the stockholders of NeuroRx becoming stockholders of the Company. Upon approval of the Company’s stockholders and consummation of the Transactions, the Company will change its name to “NRX Pharmaceuticals, Inc.” The terms of the Merger Agreement are discussed in more detail below. Prior to executing the Merger Agreement, our activities were limited to organization activities, the completion of our initial public offering, and the evaluation of possible business combination candidates.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Formation and Initial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2017, the Company issued an aggregate of 1,437,500 shares of common stock to the Sponsor (the “founder’s shares”) for an aggregate purchase price of $25,000. On November 20, 2017, the Company effectuated a 1.2-for-1 stock dividend of its common stock resulting in an aggregate of 1,725,000 founder shares outstanding.</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22, 2017, we consummated the initial public offering (the “Initial Public Offering”) of 6,000,000 units (“Units”), each Unit consisting of one share of common stock, par value $0.001 per share (“Common Stock”), one right (“Right”) entitling the holder thereof to receive one-tenth (1/10) of one share of Common Stock upon the consummation of an initial business combination, and one-half of one warrant (“Warrant”), each whole Warrant exercisable to purchase one share of Common Stock at an exercise price of $11.50 per share, pursuant to the registration statements on Form S-1 (File Nos. 333-220947 and 333-221659) (the “Registration Statements”). The Units were sold at an offering price of $10.00 per Unit, generating gross proceeds of $60,000,000. We refer to the shares of Common Stock underlying the Units as our “public shares.”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Simultaneously with the consummation of the Initial Public Company, on November 22, 2017, we completed a private placement (the “Private Placement”) of 250,000 units (“Placement Units”) at a price of $10.00 per Placement Unit, generating total proceeds of $2,500,000.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28, 2017, the underwriters notified us of their exercise of their over-allotment option in full and on November 29, 2017, purchased 900,000 Units at $10.00 per Unit upon the closing of the over-allotment option, generating gross proceeds of $9,000,000. Simultaneously with the sale of such Units, we consummated the sale of an additional 22,500 Placement Units at $10.00 per unit, generating gross proceeds of $225,000. Placement Units were issued in reliance on the exemption from registration provided by Section 4(a)(2) under the Securities Act of 1933, as amended, or Regulation D thereunder, as a sale not involving any public offering.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A total of $69,000,000 of the net proceeds from the Initial Public Offering and the Private Placement was deposited in a trust account established for the benefit of the Company’s public stockholders. We incurred costs in the aggregate amount of $2,172,419 related to Initial Public Offering, including $1,725,000 of underwriting fees and $447,419 of other costs.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Units began trading on November 20, 2017 on the Nasdaq Capital Market (“Nasdaq”) under the symbol “BRPAU.” Commencing on December 1, 2017, the underlying shares of Common Stock, Warrants and Rights began trading on Nasdaq under the symbols “BRPA,” “BRPAW,” and “BRPAR,” respectively.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13, 2020, the Company entered into the Merger Agreement with NeuroRx and Merger Sub. Pursuant to the Merger Agreement, Merger Sub will merge with and into NeuroRx, with NeuroRx surviving the Merger. The Merger Agreement was subsequently amended on January 27, 2021 and March 19, 2021.</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NeuroRx is a clinical-stage small molecule pharmaceutical company which develops novel therapeutics for the treatment of central nervous system disorders and life-threatening pulmonary diseases. NeuroRx recently announced a commercial partnership with Relief Therapeutics Holding AG for global commercialization of RLF-100, or “ZYESAMI”, an application for COVID-related respiratory failure (the “NeuroRx COVID-19 Drug”). NeuroRx is also developing NRX-100/101, the first sequential drug regimen for bipolar depression in patients with acute suicidal ideation and behavior (the “NeuroRx Antidepressant Drug Regimen”).</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Merger Agreement, the aggregate consideration payable to the stockholders of NeuroRx at the effective time of the Merger (the “Effective Time”) will equal 50,000,000 shares (“Closing Consideration”) of the Company’s Common Stock, plus the additional contingent right to receive the Earnout Shares and Earnout Cash (each as defined below).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Company’s Common Stock at an adjusted exercise price, in each case, pursuant to the terms of the Merger Agreement.</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part of the aggregate consideration payable to NeuroRx’s securityholders pursuant to the terms of the Merger Agreement, NeuroRx’s securityholders (including option holders and warrant holders) who own NeuroRx securities immediately prior to the closing will have the contingent right to receive their pro rata portion of (i) an aggregate of 25,000,000 shares of the Company’s Common Stock (“Earnout Shares”) if, prior to December 31, 2022, the NeuroRx COVID-19 Drug receives emergency use authorization by the Food and Drug Administration (“FDA”) and NeuroRx submits and the FDA files for review a new drug application for the NeuroRx COVID-19 Drug (the occurrence of the foregoing, the “Earnout Shares Milestone”), and (ii) an aggregate of $100,000,000 in cash (“Earnout Cash”) upon the earlier to occur of (x) FDA approval of the NeuroRx COVID-19 Drug and the listing of the NeuroRx COVID-19 Drug in the FDA’s “Orange Book” and (y) FDA approval of the NeuroRx Antidepressant Drug Regimen and the listing of the NeuroRx Antidepressant Drug Regimen in the FDA’s “Orange Book,” in each case prior to December 31, 2022 (the occurrence of either of clauses (x) or (y), the “Earnout Cash Milestone”).</w:t>
      </w:r>
    </w:p>
    <w:p>
      <w:pPr>
        <w:spacing w:after="0" w:line="3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the Merger Agreement, the Company will enter into an agreement (the “Sponsor Agreement”) with the Sponsor and BRAC Lending Group LLC (“BRAC”) providing that (a) the Sponsor and BRAC will forfeit, and the Company will terminate and cancel: (x) an aggregate of 875,000 shares of Common Stock and (y) one share of Common Stock for each Public Share validly redeemed by public stockholders in connection with the business combination proposal, up to a maximum of 300,000 shares of Common Stock (clauses (x) and (y), collectively, the “Forfeited Shares”), and (b) 125,000 shares of Common Stock owned by the Sponsor will be subject to escrow (the “Sponsor Earnout Shares”), which Sponsor Earnout Shares will either be released from escrow to the Sponsor upon the achievement of the Earnout Shares Milestone or terminated and canceled by the Company on December 31, 2022, in the event that the Earnout Shares Milestone is not achieved.</w:t>
      </w:r>
    </w:p>
    <w:p>
      <w:pPr>
        <w:spacing w:after="0" w:line="17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Pursuant to the Merger Agreement, the Company, Sponsor, BRAC, Graubard Miller, the Initial Stockholders and Continental Stock Transfer &amp; Trust Company (“Continental”) will enter into an amendment to the existing stock escrow agreement (the “Stock Escrow Amendment”) providing: (a) for the forfeiture and cancellation of the Forfeited Shares, (b) that the Sponsor Earnout Shares will be subject to escrow pursuant to the Sponsor Agreement and in accordance with the terms of the Merger Agreement, (c) that the 40,000 shares of Common Stock held by Graubard Miller will be released from escrow and</w:t>
      </w:r>
    </w:p>
    <w:p>
      <w:pPr>
        <w:spacing w:after="0" w:line="3" w:lineRule="exact"/>
        <w:rPr>
          <w:sz w:val="20"/>
          <w:szCs w:val="20"/>
          <w:color w:val="auto"/>
        </w:rPr>
      </w:pPr>
    </w:p>
    <w:p>
      <w:pPr>
        <w:jc w:val="both"/>
        <w:ind w:firstLine="8"/>
        <w:spacing w:after="0" w:line="29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all remaining shares of Common Stock held in escrow thereunder will be released from escrow on the earlier of (i) the six-month anniversary of the closing, (ii) with respect to 50% of the shares of Common Stock, the date on which the closing price of the Common Stock equals or exceeds $12.00 per share (as adjusted for stock splits, stock dividends, reorganizations, recapitalizations and the like) for any 20 trading days within any 30-trading day period commencing after the closing, and (iii) the date after the closing on which the Company consummates a liquidation, merger, stock exchange or other similar transaction which results in all of the Company’s stockholders having the right to exchange their Common Stock for cash, securities or other property.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both"/>
        <w:ind w:firstLine="648"/>
        <w:spacing w:after="0" w:line="287" w:lineRule="auto"/>
        <w:rPr>
          <w:sz w:val="20"/>
          <w:szCs w:val="20"/>
          <w:color w:val="auto"/>
        </w:rPr>
      </w:pPr>
      <w:r>
        <w:rPr>
          <w:rFonts w:ascii="Arial" w:cs="Arial" w:eastAsia="Arial" w:hAnsi="Arial"/>
          <w:sz w:val="16"/>
          <w:szCs w:val="16"/>
          <w:color w:val="auto"/>
        </w:rPr>
        <w:t>Pursuant to the Merger Agreement, to the extent the sum of the amount remaining in the trust account after disbursements to the Company’s public stockholders who seek redemption of their public shares plus the amount raised in the PIPE (described below) and any other financing exceeds $5 million, the Company’s outstanding loans will be repaid at the closing of the Merger. Further, the Company, the Sponsor and the Company’s lenders will enter into an omnibus amendment to each outstanding promissory note or other borrowing with the Company as the maker providing that, to the extent not repaid in accordance with the Merger Agreement, the outstanding principal and accrued unpaid interest pursuant to such promissory notes, after any repayments permitted pursuant to the terms of the Merger Agreement, will be converted into convertible notes of NRX Pharmaceuticals with an aggregate principal amount of no more than approximately $2.7 million, which will bear interest at three percent (3%) per annum, and may be converted from time to time, at the holder’s option, into shares of Common Stock at a price of $10.00 per share, and which will mature on the date that is twenty-four (24) months after the date of the Merger closing. Any other borrowings not repaid or converted into convertible notes pursuant to the Merger Agreement will be forgiven or discharged prior to closing.</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Immediately after the closing of the Merger, NeuroRx’s stockholders will hold approximately 93% of the issued and outstanding shares of the Company’s Common Stock, the current stockholders of the Company will hold approximately 5% of the issued and outstanding Common Stock, and the PIPE Investors will hold approximately 2% of the issued and outstanding Common Stock, which pro forma ownership (i) takes into effect the forfeiture, termination and cancellation of 875,000 shares of Common Stock by the Sponsor and BRAC pursuant to the Merger Agreement, and the issuance to EBC of 200,000 shares of Common Stock in lieu of the cash fee owed to EBC under the existing Business Combination Marketing Agreement, (ii) takes into effect the exchange of each outstanding Right for one-tenth of one share of Common Stock pursuant to the terms of the Rights, (iii) assumes no holder of Public Shares exercises its conversion rights, (iv) includes the effect of the PIPE but does not include the effect of any other financing of the Company and (v) assumes the Earnout Shares Milestone is not satisfied immediately after the Closing.</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Consummation of the proposed business combination is subject to customary closing conditions and covenants of the respective parties, including approval of the Company’s stockholders. Further information regarding the proposed business combination, the proposed business of the combined company following the consummation of the Merger, and the risks relating to the proposed business of the combined company can be found in the Company’s Current Report on Form 8-K filed with the SEC on December 14, 2020, the Registration Statement on Form S-4 filed by the Company with the SEC on January 27, 2021, and the preliminary proxy statement/prospectus/consent solicitation statement included therein, and the definitive proxy statement/prospectus/consent solicitation statement to be filed by the Company with the SEC. Unless otherwise indicated, the information in this Form 10-K assumes we will not consummate the proposed business combination with NeuroRx, will secure a further extension to consummate an initial business combination, and then seek to find an alternative target with which to consummate an initial business combination.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connection with the Merger, on March 12, 2021, the Company entered into subscription agreements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certain qualified institutional buyers and institutional accredited investors (collectively, the “</w:t>
      </w:r>
      <w:r>
        <w:rPr>
          <w:rFonts w:ascii="Arial" w:cs="Arial" w:eastAsia="Arial" w:hAnsi="Arial"/>
          <w:sz w:val="16"/>
          <w:szCs w:val="16"/>
          <w:u w:val="single" w:color="auto"/>
          <w:color w:val="auto"/>
        </w:rPr>
        <w:t>PIPE Investors</w:t>
      </w:r>
      <w:r>
        <w:rPr>
          <w:rFonts w:ascii="Arial" w:cs="Arial" w:eastAsia="Arial" w:hAnsi="Arial"/>
          <w:sz w:val="16"/>
          <w:szCs w:val="16"/>
          <w:color w:val="auto"/>
        </w:rPr>
        <w:t>”), pursuant to which the Company will, substantially concurrently with, and contingent upon, the consummation of the Merger, issue an aggregate of 1,000,000 shares of Common Stock to the PIPE Investors at a price of $10.00 per share, for aggregate gross proceeds to the Company of $10,000,000 (the “</w:t>
      </w:r>
      <w:r>
        <w:rPr>
          <w:rFonts w:ascii="Arial" w:cs="Arial" w:eastAsia="Arial" w:hAnsi="Arial"/>
          <w:sz w:val="16"/>
          <w:szCs w:val="16"/>
          <w:u w:val="single" w:color="auto"/>
          <w:color w:val="auto"/>
        </w:rPr>
        <w:t>PIPE</w:t>
      </w:r>
      <w:r>
        <w:rPr>
          <w:rFonts w:ascii="Arial" w:cs="Arial" w:eastAsia="Arial" w:hAnsi="Arial"/>
          <w:sz w:val="16"/>
          <w:szCs w:val="16"/>
          <w:color w:val="auto"/>
        </w:rPr>
        <w:t>”).</w:t>
      </w:r>
    </w:p>
    <w:p>
      <w:pPr>
        <w:spacing w:after="0" w:line="9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Common Stock shall have been approved for listing on the Nasdaq,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106"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Company has agreed that, as soon as reasonably practicable, but in no event later than 45 calendar days following the closing date of the Merger, it shall file a registration statement with the SEC covering the resale by the PIPE Investors of the shares of Common Stock issued to them in the PIPE and use its best efforts to have such registration statement declared effective as promptly as practicable thereafter, but in no event later than the earlier of 60 calendar days after filing (or 90 calendar days in the event the SEC issues written comments) or the 10th business day after the Company is notified that the registration statement will not be subject to review or further review.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18, 2020, the Company received stockholder approval to amend its amended and restated certificate of incorporation (“charter”) to extend the date by which it must complete an initial business combination from December 23, 2020 to April 23, 2021. No stockholders exercised their right to convert their public shares into cash in connection with the Extension.</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March 22, 2021, the Company filed a preliminary proxy statement seeking approval from its stockholders to further amend its charter to extend the date by which the Company is required to complete its initial business combination.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23, 2020, the Company received a notice from the Listing Qualifications Department of The Nasdaq Stock Market LLC stating that, as of November 20, 2020, the Company was not in compliance with Listing Rule IM-5101-2,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 The Listing Qualifications Department had advised the Company that its securities would be subject to delisting unless it timely requested a hearing before an independent Hearings Panel. The Company appealed the ruling and Nasdaq scheduled the appeal for January 14, 2021 (the “</w:t>
      </w:r>
      <w:r>
        <w:rPr>
          <w:rFonts w:ascii="Arial" w:cs="Arial" w:eastAsia="Arial" w:hAnsi="Arial"/>
          <w:sz w:val="16"/>
          <w:szCs w:val="16"/>
          <w:u w:val="single" w:color="auto"/>
          <w:color w:val="auto"/>
        </w:rPr>
        <w:t>Nasdaq Appeal</w:t>
      </w:r>
      <w:r>
        <w:rPr>
          <w:rFonts w:ascii="Arial" w:cs="Arial" w:eastAsia="Arial" w:hAnsi="Arial"/>
          <w:sz w:val="16"/>
          <w:szCs w:val="16"/>
          <w:color w:val="auto"/>
        </w:rPr>
        <w:t>”). On January 4, 2021, the Company received an additional notice from Nasdaq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that this issue be added to the Nasdaq Appeal.</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w:t>
      </w:r>
      <w:r>
        <w:rPr>
          <w:rFonts w:ascii="Arial" w:cs="Arial" w:eastAsia="Arial" w:hAnsi="Arial"/>
          <w:sz w:val="16"/>
          <w:szCs w:val="16"/>
          <w:u w:val="single" w:color="auto"/>
          <w:color w:val="auto"/>
        </w:rPr>
        <w:t>Extended Date</w:t>
      </w:r>
      <w:r>
        <w:rPr>
          <w:rFonts w:ascii="Arial" w:cs="Arial" w:eastAsia="Arial" w:hAnsi="Arial"/>
          <w:sz w:val="16"/>
          <w:szCs w:val="16"/>
          <w:color w:val="auto"/>
        </w:rPr>
        <w:t>”). Nasdaq’s decision is subject to certain conditions, including that the Company will have completed the Merger with NeuroRx on or before the Extended Date and that NRX Pharmaceuticals will have demonstrated compliance with all requirements for initial listing on Nasdaq.</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Effecting a Business Combination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not presently engaged in, and we will not engage in, any substantive commercial business until after the consummation of our initial business combination. We currently have until April 23, 2021 to consummate our initial business combination. Our board has determined that there may not be enough time to consummate the proposed business combination with NeuroRx by April 23, 2021 and, accordingly, we have filed a proxy statement to solicit shareholder approval to extend the liquidation date to May 24, 2021. If we are unable to consummate our initial business combination within the applicable time period, we will, as promptly as reasonably possible but not more than ten business days thereafter, redeem the public shares for a pro rata portion of the funds held in the trust account and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Acquisition Process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evaluated a number of target businesses, including NeuroRx. When evaluating each prospective target business, we conducted a thorough due diligence review that encompassed, among other things, meetings with incumbent management and employees, document reviews, and a review of financial and other information that made available to us.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engaged a professional firm that specializes in business acquisitions, and we may engage other firms or other individuals in the future, in which event we may pay a finder’s fee, consulting fee or other compensation to be determined in an arm’s length negotiation based on the terms of the transaction. In no event, however, will our Sponsor,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monthly administrative services fee of up to $10,000 (effective through August 20, 2018), the repayment of loans from our Sponsor, officers and directors for working capital purposes and reimbursement of out-of-pocket expenses, however such repayment and reimbursement may be limited in connection with our negotiations with a prospective target. We are not restricted from entering into a business combination with a target business that is affiliated with any of our officers, directors or Sponsor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stockholders from a financial point of view.</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our officers’ and directors’ pre-existing fiduciary duties and the limitations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w:t>
      </w:r>
    </w:p>
    <w:p>
      <w:pPr>
        <w:spacing w:after="0" w:line="16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the business combination can only be estimated at this time.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22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Nasdaq rules require that a target business or businesses that we acquire must collectively have a fair market value equal to at least 80% of the balance of the funds in the trust account (excluding taxes payable on the income earned on the trust account) at the time of the execution of a definitive agreement for our initial business combination, although we may acquire a target business whose fair market value significantly exceeds 80% of the trust account balance.</w:t>
      </w:r>
    </w:p>
    <w:p>
      <w:pPr>
        <w:spacing w:after="0" w:line="14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5"/>
          <w:szCs w:val="15"/>
          <w:color w:val="auto"/>
        </w:rPr>
        <w:t>We are permitted to structure a business combination to acquire 100% of the equity interests or assets of the target business or businesses or to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w:t>
      </w:r>
    </w:p>
    <w:p>
      <w:pPr>
        <w:spacing w:after="0" w:line="385" w:lineRule="exact"/>
        <w:rPr>
          <w:sz w:val="20"/>
          <w:szCs w:val="20"/>
          <w:color w:val="auto"/>
        </w:rPr>
      </w:pPr>
    </w:p>
    <w:p>
      <w:pPr>
        <w:jc w:val="both"/>
        <w:ind w:right="20" w:firstLine="714"/>
        <w:spacing w:after="0" w:line="331" w:lineRule="auto"/>
        <w:rPr>
          <w:sz w:val="20"/>
          <w:szCs w:val="20"/>
          <w:color w:val="auto"/>
        </w:rPr>
      </w:pPr>
      <w:r>
        <w:rPr>
          <w:rFonts w:ascii="Arial" w:cs="Arial" w:eastAsia="Arial" w:hAnsi="Arial"/>
          <w:sz w:val="16"/>
          <w:szCs w:val="16"/>
          <w:color w:val="auto"/>
        </w:rPr>
        <w:t>We will not be required to obtain an opinion from an investment banking firm, or another independent entity that commonly renders valuation opinions, as to the fair market value if our board of directors independently determines that the target business complies with the 80% threshold.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performance of a single business.</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60" w:lineRule="exact"/>
        <w:rPr>
          <w:sz w:val="20"/>
          <w:szCs w:val="20"/>
          <w:color w:val="auto"/>
        </w:rPr>
      </w:pPr>
    </w:p>
    <w:p>
      <w:pPr>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Limited Ability to Evaluate the Target Business’s Management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Although we have scrutinized the management of NeuroRx, we cannot assure you that our assessment of the target business’s management will prove to be correct. In addition, we cannot assure you that the future management will have the necessary skills, qualifications or abilities to manage a public company. Furthermore, our officers and directors are not expected to have any future role with NeuroRx following completion of the contemplated Merger. In the event that we do not complete a business combination with NeuroRx and instead seek an alternative business combination target, the future role of our officers and directors, if any, in the target business following a business combination cannot presently be stated with any certainty. While it is possible that some of our key personnel will remain in senior management or advisory positions with us following a business combination, it is possible that they will not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will likely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any or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Unlike other blank check companies which require stockholder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7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Our Sponsor, officers, directors and BRAC (as defined below) have agreed (1) to vote any shares of common stock owned by them in favor of any proposed business combination, including the founder’s shares,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None of our officers, directors, Sponsor or their affiliates has indicated any intention to purchase units or shares of common stock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or their affiliates could make such purchases in the open market or in private transactions in order to influence the vote.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shares, regardless of whether they vote for or against the proposed business combination,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may require public stockholders seeking conversion, whether they are a record holder or hold their shares in “street name,” to either (i) physically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a nominal fee and it would be up to the broker whether to pass this cost on to the holder. However, this fee would be incurred regardless of whether we require holders seeking to exercise conversion rights to tender their shares.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will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6"/>
          <w:szCs w:val="16"/>
          <w:i w:val="1"/>
          <w:iCs w:val="1"/>
          <w:color w:val="auto"/>
        </w:rPr>
        <w:t>In connection with any stockholder meeting called to approve a proposed initial business combination, we may</w:t>
      </w:r>
      <w:r>
        <w:rPr>
          <w:rFonts w:ascii="Arial" w:cs="Arial" w:eastAsia="Arial" w:hAnsi="Arial"/>
          <w:sz w:val="16"/>
          <w:szCs w:val="16"/>
          <w:color w:val="auto"/>
        </w:rPr>
        <w:t xml:space="preserve"> </w:t>
      </w:r>
      <w:r>
        <w:rPr>
          <w:rFonts w:ascii="Arial" w:cs="Arial" w:eastAsia="Arial" w:hAnsi="Arial"/>
          <w:sz w:val="16"/>
          <w:szCs w:val="16"/>
          <w:i w:val="1"/>
          <w:iCs w:val="1"/>
          <w:color w:val="auto"/>
        </w:rPr>
        <w:t>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6"/>
          <w:szCs w:val="16"/>
          <w:color w:val="auto"/>
        </w:rPr>
        <w:t>” for further information on the risks</w:t>
      </w:r>
      <w:r>
        <w:rPr>
          <w:rFonts w:ascii="Arial" w:cs="Arial" w:eastAsia="Arial" w:hAnsi="Arial"/>
          <w:sz w:val="16"/>
          <w:szCs w:val="16"/>
          <w:i w:val="1"/>
          <w:iCs w:val="1"/>
          <w:color w:val="auto"/>
        </w:rPr>
        <w:t xml:space="preserve"> </w:t>
      </w:r>
      <w:r>
        <w:rPr>
          <w:rFonts w:ascii="Arial" w:cs="Arial" w:eastAsia="Arial" w:hAnsi="Arial"/>
          <w:sz w:val="16"/>
          <w:szCs w:val="16"/>
          <w:color w:val="auto"/>
        </w:rPr>
        <w:t>of failing to comply with these requirements.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foregoing is different from the procedures historically used by some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conversion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conversion price, he could sell his shares in the open market before actually delivering his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shares is irrevocable once the business combination is approved.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of common stock delivered his certificate in connection with an election of their conversion and subsequently decides prior to the vote on the proposed business combination not to elect to exercise such rights, he may simply request that the transfer agent return the certificate (physically or electronically).</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as of two business days prior to the consummation of the initial business combination. In such case, we will promptly return any shares delivered by public holders.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Extensions to Complete Business Combination</w:t>
      </w:r>
    </w:p>
    <w:p>
      <w:pPr>
        <w:spacing w:after="0" w:line="23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charter originally provided that we would have until November 22, 2018 to complete our initial business combination. On each of November 20, 2018, February 22, 2019, May 21, 2019, August 21, 2019, November 21, 2019, March 23, 2020, July 23, 2020, and December 18, 2020, our stockholders approved an amendment to our charter extending the amount of time that we have to consummate an initial business combination. As a result, our charter, as amended, currently provides that it will have until April 23, 2021 to complete a business combination. In connection with these amendments, we offered public stockholders the right to have their Public Shares converted into a pro rata portion of the trust account and holders of Public Shares representing approximately $63 million originally held in the trust account exercised such conversion rights. Accordingly, as of the date of this Form 10-K, the Company has approximately $6.0 million of cash in the trust account.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received loans from affiliates of ours in connection with such amendments.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5"/>
          <w:szCs w:val="15"/>
          <w:color w:val="auto"/>
        </w:rPr>
        <w:t>On November 17, 2018, we entered into an agreement (the “Extension Funding Agreement”) with the Sponsor and BRAC. Pursuant to the Extension Funding Agreement, the Sponsor transferred an aggregate of 1,500,000 founder’s shares to BRAC in exchange for the agreements set forth below and aggregate cash consideration of $1.00. The Founder’s Shares transferred by the Sponsor to BRAC will remain in escrow in the name of BRAC, subject to the terms of the Stock Escrow Agreement, dated November 20, 2017, among us, the Sponsor and Continental Stock Transfer &amp; Trust Company. Additionally, the Sponsor assigned the registration rights it was granted, pursuant to the Registration Rights Agreement, dated November 20, 2017 between us and the Sponsor, with respect to the Founder’s Shares to BRAC in connection with the transfer. Pursuant to the Extension Funding Agreement, the Sponsor agreed to take all actions reasonably necessary to extend the period of time the Company has to consummate a business combination up to two times for an aggregate of up to six months and BRAC agreed to loan us the funds necessary to obtain the extensions. BRAC loaned us an aggregate of $1,380,000 to obtain such extensions, which loans are evidenced by promissory notes. Further, pursuant to the Extension Funding Agreement, BRAC has also agreed to loan us all funds necessary to pay expenses incurred in connection with and in order to consummate a business combination (the “Business Combination Expenses”) and such loans will be added to the notes. Also, pursuant to the Extension Funding Agreement, the Sponsor has agreed to be responsible for all liabilities of the Company as of November 17, 2018, except for liabilities associated with the possible redemption of shares by the Company’s shareholders, as described in the charter.</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Sponsor has also agreed to loan us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us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 As of December 31, 2020, A/Z Property has loaned us an aggregate of approximately $862,148 in order to pay our Non-Business Combination Related Expenses and extension payments. We repaid $35,000 of such loans during the year ended December 31, 2020.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BRAC has loaned us an aggregate of approximately $1,809,889 in order to fund extension payments and other expenses.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March 22, 2021, the Company filed a preliminary proxy statement seeking approval from its stockholders to further amend its charter to extend the date by which the Company is required to complete its initial business combination.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have not completed an initial business combination by April 23, 2021, or such later date as may be approved by our stockholders through approval of an amendment to our charter,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Sponsor, officers and directors have agreed that they will not propose any amendment to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by April 23, 2021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If we are unable to complete a business combination within the prescribed time frame,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Accordingly, it is our intention to redeem our public shares as soon as reasonably possible following the required time period to complete our initial business combination,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both"/>
        <w:ind w:firstLine="648"/>
        <w:spacing w:after="0" w:line="284" w:lineRule="auto"/>
        <w:rPr>
          <w:sz w:val="20"/>
          <w:szCs w:val="20"/>
          <w:color w:val="auto"/>
        </w:rPr>
      </w:pPr>
      <w:r>
        <w:rPr>
          <w:rFonts w:ascii="Arial" w:cs="Arial" w:eastAsia="Arial" w:hAnsi="Arial"/>
          <w:sz w:val="16"/>
          <w:szCs w:val="16"/>
          <w:color w:val="auto"/>
        </w:rPr>
        <w:t>We are required to use our reasonable best efforts to have all third parties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As a result, if we liquidate, the per-share distribution from the trust account could be less than $10.00 due to claims or potential claims of creditors. We will distribute to all of our public stockholders, in proportion to their respective equity interests, an aggregate amount then on deposit in the trust account, including any interest earned on the funds held in the trust account net of interest that may be used by us to pay our franchise and income taxes payable.</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such date and anticipate it will take no more than 10 business days to effect such a distribution. Our Sponsor has waived its rights to participate in any liquidation distribution with respect to the founder’s shares and any shares, rights or warrants included in the private placement units. Additionally, any loans made by our officers, directors, Sponsors or their affiliates for working capital needs will be forgiven and not repaid if we are unable to complete an initial business combination. There will be no distribution from the trust account with respect to our rights or warrants, including the rights or warrants contained in the private placement units, which will expire worthless. We will pay the costs of any subsequent liquidation from our remaining assets outside of the trust account. If such funds are insufficient, A/Z Property has agreed to pay the funds necessary to complete such liquidation (currently anticipated to be no more than approximately $15,000) and has agreed not to seek repayment for such expenses.</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the Initial Public Offering and the sale of the private placement units,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stockholders.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a business combination within the required time period or if the stockholders seek to have us convert or purchase their respective shares upon a business combination which is actually completed by us or upon certain amendments to our amended and restated certificate of incorporation as described elsewhere herein. In no other circumstances shall a stockholder have any right or interest of any kind to or in the trust account.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the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that will apply to us until the consummation of our initial business combination. These provisions cannot be amended without the approval of a majority of our stockholders. If we seek to amend any provisions of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by April 23, 2021 (or such later date as may be approved by our stockholders), we will provide public stockholders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and any public shares they may hold in connection with any vote to amend our amended and restated certificate of incorporation. Specifically, our amended and restated certificate of incorporation provides, among other things, that:</w:t>
      </w:r>
    </w:p>
    <w:p>
      <w:pPr>
        <w:spacing w:after="0" w:line="173" w:lineRule="exact"/>
        <w:rPr>
          <w:sz w:val="20"/>
          <w:szCs w:val="20"/>
          <w:color w:val="auto"/>
        </w:rPr>
      </w:pPr>
    </w:p>
    <w:p>
      <w:pPr>
        <w:jc w:val="both"/>
        <w:ind w:left="660" w:hanging="328"/>
        <w:spacing w:after="0" w:line="28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by April 23, 2021, and such date is not further extended, then we will redeem all of the outstanding public shares and thereafter liquidate and dissolve our company;</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any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identifying, evaluating and selecting a target business, we have encountered and may continue to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we do and our financial resources will be relatively limited when contrasted with those of many of these competitors.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obligation to seek stockholder approval of a business combination or engage in a tender offer may delay the completion of a transaction;</w:t>
      </w:r>
    </w:p>
    <w:p>
      <w:pPr>
        <w:spacing w:after="0" w:line="38"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 to convert or repurchase shares of common stock held by our public stockholders may reduce the resources available to us for a business combination;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outstanding rights or warrants and unit purchase options, and the potential future dilution they represent.</w:t>
      </w:r>
    </w:p>
    <w:p>
      <w:pPr>
        <w:spacing w:after="0" w:line="21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recent years, and especially since the fourth quarter of 2020,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two executive officers who receive no compensation from the Company. These individuals are not obligated to devote any specific number of hours to our matters and intend to devote only as much time as they deem necessary to our affairs. We do not have, and do not intend to have, any employees prior to the consummation of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Our business, financial condition, operating results, and cash flows may be impacted by a number of factors, many of which are beyond our control, including those set forth below and elsewhere in this Form 10-K, the occurrence of any one of which could have a material adverse effect on our actual results. The risks set forth below do not include specific risks relating to our proposed business combination with NeuroRx, or the risks inherent in NeuroRx’s business, which are included in the Registration Statement on Form S-4 which we filed with the SEC on January 27, 2021. The risks presented below assumes that we will not consummate the proposed business combination with NeuroRx, and that we will secure a further extension to consummate an initial business combination and then seek to find an alternative target with which to consummate an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Searching for and Consummating a Business Combination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operating history and, accordingly, you will not have any basis on which to evaluate our ability to achieve our business objective.</w:t>
      </w:r>
    </w:p>
    <w:p>
      <w:pPr>
        <w:spacing w:after="0" w:line="2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consummate an initial business combination.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until April 23, 2021, or longer if additional extensions are approved, before receiving distributions from the trust account.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until April 23, 2021, or such later date as may be approved by our stockholders, in which to complete a business combination. We have no obligation to return funds to investors prior to such date unless (i) we consummate a business combination prior thereto or (ii) we seek to amend our amended and restated certificate of incorporation prior to consummation of a business combination,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requirement that we complete an initial business combination by April 23, 2021 (or such later date as may be approved by our stockholders) may give potential target businesses leverage over us in negotiating a business combination.</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until April 23, 2021 (or such later date as may be approved by our stockholders)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Report.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Sponsor, BRAC, and designees of the underwriter of our IPO control a substantial interest in us and thus may influence certain actions requiring a stockholder vote.</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the date of this Form 10-K, our Sponsor, BRAC, and EBC and its designees own approximately 76.9% of our issued and outstanding shares of common stock. Neither the Sponsor, BRAC, our directors or executive officers nor EBC or any of their respective affiliates beneficially owned any public shares as of the date of this Form 10-K. However, they may choose to buy public shares in the open market and/or through negotiated private purchases after the date of this proxy statement. In the event that purchases do occur, the purchasers may seek to purchase shares from stockholders who would otherwise have voted against our initial business combination and/or elected to convert their shares. In connection with any vote for a proposed business combination, our Sponsor and BRAC, as well as all of our officers and directors, have agreed to vote the shares of common stock owned by them immediately before the Initial Public Offering as well as any shares of common stock acquired in the Initial Public Offering or in the aftermarket in favor of such proposed business combination.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is divided into two classes, each of which will generally serve for a term of two years with only one class of directors being elected in each year. There may not be an annual meeting of stockholders to elect new directors prior to the consummation of a business combination, in which case all of the current directors will continue in office until at least the consummation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Accordingly, our Sponsor will continue to exert control at least until the consummation of a business combination.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Form 10-K) regardless of whether such stockholder votes for or against such proposed business combination. This ability to seek conversion while voting in favor of our proposed business combination may make it more likely that we will consummate a business combination.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jc w:val="both"/>
        <w:spacing w:after="0" w:line="306"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each public stockholder will have the right, regardless of whether he is voting for or against such proposed business combination,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physically tender their certificates to our transfer agent or (ii) deliver their shares to the transfer agent electronically using the Depository Trust Company’s DWAC (Deposit/Withdrawal At Custodian) System, at the holders’ option, in each case prior to a date set forth in the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we require public stockholders who wish to convert their shares to either (i) physically tender their certificates to our transfer agent or (ii) deliver their shares to the transfer agent electronically using the Depository Trust Company’s DWAC (Deposit/Withdrawal At Custodian) System as described above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our structure, other companies may have a competitive advantage and we may not be able to consummate an attractive business combination.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Our ability to compete in acquiring a target business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rights and the unit purchase option, and the future dilution they potentially represent, may not be viewed favorably by certain target businesses. Any of the foregoing may place us at a competitive disadvantage in successfully negotiating a business combination.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such standards.</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may need to be audited in accordance with U.S. GAAP at the time of the consummation of the business combination. These financial statement requirements may limit the pool of potential target businesses we may acquire.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8"/>
          <w:szCs w:val="18"/>
          <w:b w:val="1"/>
          <w:bCs w:val="1"/>
          <w:i w:val="1"/>
          <w:iCs w:val="1"/>
          <w:color w:val="auto"/>
        </w:rPr>
        <w:t>We may issue shares of our capital stock or debt securities to complete a business combination, which would reduce the equity interest of our stockholders and likely cause a change in control of our ownership.</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common stock, par value $0.001 per share, and 1,000,000 shares of preferred stock, par value $0.001 per share.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existing commons tockholders;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ind w:left="6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38"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93" w:lineRule="exact"/>
        <w:rPr>
          <w:sz w:val="20"/>
          <w:szCs w:val="20"/>
          <w:color w:val="auto"/>
        </w:rPr>
      </w:pPr>
    </w:p>
    <w:p>
      <w:pPr>
        <w:jc w:val="both"/>
        <w:ind w:firstLine="53"/>
        <w:spacing w:after="0" w:line="268"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December 31, 2020, we had approximately $446 in available funds held outside of our trust account and approximately $6.0 million in the trust account. If these amounts prove to be insufficient to consummate an initial business combination, we will be required to seek additional financing. Such financing may not be available on acceptable terms, if at all. To the extent that additional financing proves to be unavailable when needed to consummate the proposed business combination with Microvast or any other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acquire if it is an entity that is affiliated with any of our officers, directors or Sponsor. In all other instances, we will have no obligation to obtain an opinion. Accordingly, investors will be relying solely on the judgment of our board of directors in approving a proposed business combination.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8"/>
          <w:szCs w:val="18"/>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only be able to complete one business combination, which will cause us to be solely dependent on a single business which may have a limited number of products or services.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combinations.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into a single operating business. If we are unable to adequately address these risks, it could negatively impact our profitability and results of operations.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search for an initial business combination, and any target business with which we ultimately consummate an initial business combination, may be materially adversely affected by the recent coronavirus (COVID-19) outbreak and other events, and the status of debt and equity markets.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our ability to consummate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and especially since the fourth quarter of 2020,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The premiums charged for such policies have generally increased and the terms of such policies have generally become less favorable. There can be no assurance that these trends will not continue.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may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the role of our key personnel after a business combination cannot presently be ascertained. Although some of our key personnel may continue to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limited to a particular industry and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conduct an adequate due diligence investigation of a target business, we may subsequently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later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debt financing during or subsequent to the business combination.</w:t>
      </w:r>
    </w:p>
    <w:p>
      <w:pPr>
        <w:spacing w:after="0" w:line="17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we would be subject to a variety of additional risks that may negatively impact our operations.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may effect a business combination with a company located outside of the United States. If we did, we would be subject to any special considerations or risks associated with companies operating in the target business’s home jurisdiction, including any of the following:</w:t>
      </w:r>
    </w:p>
    <w:p>
      <w:pPr>
        <w:spacing w:after="0" w:line="18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Potential Conflicts of Interest of our Management, Directors, and Others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officers and directors may allocate their time to other businesses thereby causing conflicts of interest in their determination as to how much time to devote to our affairs. This conflict of interest could have a negative impact on our ability to consummate a business combination.</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officers and directors are not required to commit their full time to our affairs, which could create a conflict of interest when allocating their time between our operations and their other commitments. We presently expect each of our employees to devote such amount of time as they reasonably believe is necessary to our business. We do not intend to have any full time employees prior to the consummation of our initial business combination. All of our officers and directors are engaged in other business endeavors and are not obligated to devote any specific number of hours to our affairs. If our officers’ and directors’ other business affairs require them to devote more substantial amounts of time to such affairs, it could limit their ability to devote time to our affairs and could have a negative impact on our ability to consummate our initial business combination. We cannot assure you that these conflicts will be resolved in our favor.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officers and directors may have a conflict of interest in determining whether a particular target business is appropriate for a business combination.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Sponsor, which is affiliated with certain of our officers and directors, has agreed to waive its right to convert its founder’s shares and any other shares purchased in the Initial Public Offering or thereafter, or to receive distributions from the trust account with respect to their founder’s shares upon our liquidation if we are unable to consummate a business combination. Accordingly, the shares acquired prior to the Initial Public Offering will be worthless if we do not consummate a business combination. Additionally, the warrants, including the warrants contained in the private placement units held by our Sponsor, will expire worthless if we do not consummate a business combination. The personal and financial interests of our directors and officers, through their interests in our Sponsor,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Certain of our officers have, and any of our officers and directors or their affiliates may in the future have, outside fiduciary and contractual obligations and, accordingly, may have conflicts of interest in determining to which entity a particular business opportunity should be presented.</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of our directors have, and any of our officers and directors or their affiliates may in the future have, fiduciary and contractual obligations to other companies. Accordingly, they may participate in transactions and have obligations that may be in conflict or competition with the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pre-existing fiduciary and contractual obligations of our management team, and the potential conflicts of interest that such obligations may present, see the section titled “Part III, Item 10. Directors, Executive Officers and Corporate Governance.”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jc w:val="both"/>
        <w:spacing w:after="0" w:line="306"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 and may be subject to redemption.</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warrants.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warrants were issued in registered form under the Warrant Agreement, dated November 20, 2017,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warrants (including the warrants contained in the private placement units) in order to make any change that adversely affects the interests of the registered holders. Accordingly, we would need only 1,656,876, or 48.0%, of the public warrants to vote in favor of a proposed amendment for it to be approved (assuming the holders of the warrants contained in the private placement units all voted in favor of the amendment).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b w:val="1"/>
          <w:bCs w:val="1"/>
          <w:i w:val="1"/>
          <w:iCs w:val="1"/>
          <w:color w:val="auto"/>
        </w:rPr>
        <w:t>We may amend the terms of the rights in a manner that may be adverse to holders with the approval by the holders of at least 50% of the then outstanding rights.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rights were issued in registered form under a right agreement between Continental Stock Transfer &amp; Trust Company, as rights agent, and us. The right agreement provides that the terms of the rights may be amended without the consent of any holder to cure any ambiguity or correct any defective provision. The right agreement requires the approval by the holders of at least 50% of the then outstanding rights in order to make any change that adversely affects the interests of the registered holders. Accordingly, we would need only 3,313,751, or 48.0%, of the public rights to vote in favor of a proposed amendment for it to be approved (assuming the holders of the private rights all voted in favor of the amendment).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per-share redemption price received by stockholders may be less than $10.00.</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A/Z Property has agreed (subject to certain exceptions described elsewhere in this Report)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Therefore, the per-share distribution from the trust account may be less than $10.00, plus interest, due to such claims.</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 per share. As a result, if any such claims were successfully made against the trust account, the funds available for our initial business combination and redemptions could be reduced to less than $10.00 per public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continue in existence until April 23, 2021, or such later date as may be approved by our stockholders.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directors may decide not to enforce A/Z Property's indemnification obligations, resulting in a reduction in the amount of funds in the trust account available for distribution to our public stockholders.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the proceeds in the trust account are reduced below $10.00 per public share and A/Z Property asserts that it is unable to satisfy its obligations or that it has no indemnification obligations related to a particular claim, our independent directors would determine whether to take legal action against A/Z Property to enforce such indemnification obligations. While we currently expect that our independent directors would take legal action on our behalf against A/Z Property to enforce such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74" w:lineRule="exact"/>
        <w:rPr>
          <w:sz w:val="20"/>
          <w:szCs w:val="20"/>
          <w:color w:val="auto"/>
        </w:rPr>
      </w:pPr>
    </w:p>
    <w:p>
      <w:pPr>
        <w:ind w:right="180" w:firstLine="44"/>
        <w:spacing w:after="0" w:line="268"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23, 2020, the Company received a notice from the Listing Qualifications Department of The Nasdaq Stock Market LLC stating that, as of November 20, 2020, the Company was not in compliance with Listing Rule IM-5101-2,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 The Listing Qualifications Department had advised the Company that its securities would be subject to delisting unless it timely requested a hearing before an independent Hearings Panel. The Company appealed the ruling and Nasdaq scheduled the appeal for January 14, 2021 (the “</w:t>
      </w:r>
      <w:r>
        <w:rPr>
          <w:rFonts w:ascii="Arial" w:cs="Arial" w:eastAsia="Arial" w:hAnsi="Arial"/>
          <w:sz w:val="16"/>
          <w:szCs w:val="16"/>
          <w:u w:val="single" w:color="auto"/>
          <w:color w:val="auto"/>
        </w:rPr>
        <w:t>Nasdaq Appeal</w:t>
      </w:r>
      <w:r>
        <w:rPr>
          <w:rFonts w:ascii="Arial" w:cs="Arial" w:eastAsia="Arial" w:hAnsi="Arial"/>
          <w:sz w:val="16"/>
          <w:szCs w:val="16"/>
          <w:color w:val="auto"/>
        </w:rPr>
        <w:t>”). On January 4, 2021, the Company received an additional notice from Nasdaq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that this issue be added to the Nasdaq Appeal.</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w:t>
      </w:r>
      <w:r>
        <w:rPr>
          <w:rFonts w:ascii="Arial" w:cs="Arial" w:eastAsia="Arial" w:hAnsi="Arial"/>
          <w:sz w:val="16"/>
          <w:szCs w:val="16"/>
          <w:u w:val="single" w:color="auto"/>
          <w:color w:val="auto"/>
        </w:rPr>
        <w:t>Extended Date</w:t>
      </w:r>
      <w:r>
        <w:rPr>
          <w:rFonts w:ascii="Arial" w:cs="Arial" w:eastAsia="Arial" w:hAnsi="Arial"/>
          <w:sz w:val="16"/>
          <w:szCs w:val="16"/>
          <w:color w:val="auto"/>
        </w:rPr>
        <w:t>”). Nasdaq’s decision is subject to certain conditions, including that the Company will have completed the Merger with NeuroRx on or before the Extended Date and that NRX Pharmaceuticals will have demonstrated compliance with all requirements for initial listing on Nasdaq. While the Company expects to complete the Merger by the Extended Date, there can be no assurance that it will be able to do so.</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If Nasdaq delists the Company’s securities from trading on its exchange, the Company could face significant material adverse consequences, including:</w:t>
      </w:r>
    </w:p>
    <w:p>
      <w:pPr>
        <w:spacing w:after="0" w:line="18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rights and warrants are listed on Nasdaq, our units, common stock, rights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outstanding rights, warrants and unit purchase options may have an adverse effect on the market price of our common stock and make it more difficult to effect a business combination.</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issued rights to receive 690,000 shares of common stock and warrants to purchase 3,450,000 shares of common stock as part of the units offered in connection with the Initial Public Offering and rights to receive 27,250 shares of common stock and warrants to purchase 136,250 shares of common stock in connection with the Private Placement. We also issued unit purchase options to purchase 600,000 units to EarlyBirdCapital, Inc. (and/or its designees) which, if exercised, will result in the issuance of 600,000 shares of common stock, rights to receive 60,000 shares of common stock and warrants to purchase an additional 300,000 shares of common stock. We may also issue additional private units, which will be identical to the private placement units, to our Sponsor, officers or directors in payment of working capital loans made to us as described in this Form 10-K. To the extent we issue shares of common stock to effect a business combination, the potential for the issuance of a substantial number of additional shares upon conversion or exercise of these rights, warrants and unit purchase options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rights, warrants and unit purchase option may make it more difficult to effectuate a business combination or increase the cost of acquiring the target business. Additionally, the sale, or even the possibility of sale, of the shares underlying the warrants, rights, or unit purchase option could have an adverse effect on the market price for our securities or on our ability to obtain future financing. If and to the extent these rights are converted or warrants and options are exercised, you may experience dilution to your holdings.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$21.00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warrants contained in the private placement units will be redeemable by us so long as they are held by the Sponsor or its permitted transferees.</w:t>
      </w:r>
    </w:p>
    <w:p>
      <w:pPr>
        <w:spacing w:after="0" w:line="18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Form 10-K have been satisfied, our management will have the option to require any holder that wishes to exercise his warrant (including any warrants held by our Sponsor, officers or directors or their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obligation to net cash settle the rights 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 event will we have any obligation to net cash settle the rights or warrants. Furthermore, there are no contractual penalties for failure to deliver securities to the holders of the rights or warrants upon consummation of an initial business combination or exercise of the warrants. Accordingly, you might not receive the shares of common stock underlying the rights and warrants.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Our stockholders prior to the Initial Public Offering are entitled to demand that we register the resale of the founder’s shares at any time commencing three months prior to the date on which their shares may be released from escrow. Additionally, the holders of the private placement units and any private units our Sponsor, officers, directors, or their affiliates may be issued in payment of working capital loans made to us are entitled to demand that we register the resale of the private placement units and any other private units we issue to them (and the underlying securities) commencing at any time after we consummate an initial business combination. The presence of these additional shares of common stock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1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two classes, each of which will generally serve for a term of two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Also, our amended and restated certificate of incorporation provides our board of directors the ability to designate the terms of and issue new series of preferred stock, which may inhibit a takeover of us.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Any person or entity purchasing or otherwise acquiring any interest in shares of our capital stock shall be deemed to have notice of and consented to the forum provisions in our amended and restated certificate of incorporation.</w:t>
      </w:r>
    </w:p>
    <w:p>
      <w:pPr>
        <w:spacing w:after="0" w:line="169" w:lineRule="exact"/>
        <w:rPr>
          <w:sz w:val="20"/>
          <w:szCs w:val="20"/>
          <w:color w:val="auto"/>
        </w:rPr>
      </w:pPr>
    </w:p>
    <w:p>
      <w:pPr>
        <w:jc w:val="both"/>
        <w:ind w:firstLine="692"/>
        <w:spacing w:after="0" w:line="298"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General Risks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80" w:lineRule="exact"/>
        <w:rPr>
          <w:sz w:val="20"/>
          <w:szCs w:val="20"/>
          <w:color w:val="auto"/>
        </w:rPr>
      </w:pPr>
    </w:p>
    <w:p>
      <w:pPr>
        <w:jc w:val="both"/>
        <w:ind w:right="20" w:firstLine="44"/>
        <w:spacing w:after="0" w:line="268"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78" w:lineRule="exact"/>
        <w:rPr>
          <w:sz w:val="20"/>
          <w:szCs w:val="20"/>
          <w:color w:val="auto"/>
        </w:rPr>
      </w:pPr>
    </w:p>
    <w:p>
      <w:pPr>
        <w:jc w:val="both"/>
        <w:ind w:firstLine="700"/>
        <w:spacing w:after="0" w:line="268"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8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we may have imposed upon us certain burdensome requirements, including: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9" w:lineRule="exact"/>
        <w:rPr>
          <w:rFonts w:ascii="Arial" w:cs="Arial" w:eastAsia="Arial" w:hAnsi="Arial"/>
          <w:sz w:val="18"/>
          <w:szCs w:val="18"/>
          <w:color w:val="auto"/>
        </w:rPr>
      </w:pPr>
    </w:p>
    <w:p>
      <w:pPr>
        <w:ind w:right="920" w:firstLine="332"/>
        <w:spacing w:after="0" w:line="559"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reporting, record keeping, voting, proxy, compliance policies and procedures and disclosure requirements and other rules and regulations. Compliance with these additional regulatory burdens would require additional expense for which we have not allotted.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beginning with this Annual Report on Form 10-K.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which requirement we are exempt from so long as we qualify as an “emerging growth company,” as defined in Section 2(a) of the Securities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9" w:name="page30"/>
    <w:bookmarkEnd w:id="29"/>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maintain our principal executive offices at 2645 N. Federal Hwy, Suite 230, Delray Beach, Florida 33483. The cost for this space is included in the up to $10,000 per-month aggregate fee our Sponsor charged us for general and administrative services, which commenced on the date of the Initial Public Offering pursuant to a letter agreement between us and our Sponsor. We believe, based on rents and fees for similar services in the Palm Beach, Florida area, that the fee charged by our Sponsor was at least as favorable as we could have obtained from an unaffiliated person. Effective August 20, 2018, Sponsor agreed to stop charging us the monthly administrative fee. We consider our current office space, combined with the other office space otherwise available to our executive officers, adequate for our current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material litigation, arbitration or governmental proceeding currently pending against us or any members of our management team.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units, common stock, warrants and rights are each traded on the Nasdaq Capital Market under the symbols “BRPAU,” “BRPA,” “BRPAW” and “BRPAR,” respectively. Our units commenced public trading on November 20, 2017, and our common stock, rights and warrants commenced public trading on December 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March 30, 2021, we had six holders of record of our common stock, two holders of record of our units, one holder of record of our warrants and one holder of record of our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On November 20, 2017, we increased the size of the offering pursuant to Rule 462(b) under the Securities Act, and effectuated a 1.2-for-1 stock dividend of our common stock resulting in an aggregate of 1,725,000 founder's shares outstanding to maintain the ownership of our stockholder prior to our Initial Public Offering at 20% of our issued and outstanding shares of our common stock upon the consummation of our Initial Public Offering (excluding the shares of common stock underlying the private placement units and any units purchased in our Initial Public Offering). Further, if we incur any indebtedness, our ability to declare dividends may be limited by restrictive covenants we may agree to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in not applicable as we are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Form 10-K.</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13, 2020, the Company entered into the Merger Agreement with NeuroRx and Merger Sub. Pursuant to the Merger Agreement, Merger Sub will merge with and into NeuroRx, with NeuroRx surviving the Merger. As a result of the Merger, NeuroRx will become a wholly-owned subsidiary of the Company, with the stockholders of NeuroRx becoming stockholders of the Company. Under the Merger Agreement,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Company’s Common Stock at an adjusted exercise price, in each case, pursuant to the terms of the Merger Agreement.</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the Merger Agreement, the Company will enter into the Sponsor Agreement with the Sponsor and BRAC providing that (a) the Sponsor and BRAC will forfeit the Forfeited Shares and (b) the Sponsor Earnout Shares will be subject to escrow, and will either be released from escrow to the Sponsor upon the achievement of the Earnout Shares Milestone or terminated and canceled by the Company on December 31, 2022, in the event that the Earnout Shares Milestone is not achieved.</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the Merger Agreement, the Company, Sponsor, BRAC, Graubard Miller, the Initial Stockholders and Continental will enter into the Stock Escrow Amendment providing: (a) for the forfeiture and cancellation of the Forfeited Shares, (b) that the Sponsor Earnout Shares will be subject to escrow pursuant to the Sponsor Agreement and in accordance with the terms of the Merger Agreement, (c) that the 40,000 shares of Common Stock held by Graubard Miller will be released from escrow and (d) that all remaining shares of Common Stock held in escrow thereunder will be released from escrow on the earlier of (i) the six-month anniversary of the closing, (ii) with respect to 50% of the shares of Common Stock, the date on which the closing price of the Common Stock equals or exceeds $12.00 per share (as adjusted for stock splits, stock dividends, reorganizations, recapitalizations and the like) for any 20 trading days within any 30-trading day period commencing after the closing, and (iii) the date after the closing on which the Company consummates a liquidation, merger, stock exchange or other similar transaction which results in all of the Company’s stockholders having the right to exchange their Common Stock for cash, securities or other property.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jc w:val="both"/>
        <w:ind w:firstLine="648"/>
        <w:spacing w:after="0" w:line="287" w:lineRule="auto"/>
        <w:rPr>
          <w:sz w:val="20"/>
          <w:szCs w:val="20"/>
          <w:color w:val="auto"/>
        </w:rPr>
      </w:pPr>
      <w:r>
        <w:rPr>
          <w:rFonts w:ascii="Arial" w:cs="Arial" w:eastAsia="Arial" w:hAnsi="Arial"/>
          <w:sz w:val="16"/>
          <w:szCs w:val="16"/>
          <w:color w:val="auto"/>
        </w:rPr>
        <w:t>Pursuant to the Merger Agreement, to the extent the sum of the amount remaining in the trust account after disbursements to the Company’s public stockholders who seek redemption of their public shares plus the amount raised in the PIPE (described below) and any other financing exceeds $5 million, the Company’s outstanding loans will be repaid at the closing of the Merger. Further, the Company, the Sponsor and the Company’s lenders will enter into an omnibus amendment to each outstanding promissory note or other borrowing with the Company as the maker providing that, to the extent not repaid in accordance with the Merger Agreement, the outstanding principal and accrued unpaid interest pursuant to such promissory notes, after any repayments permitted pursuant to the terms of the Merger Agreement, will be converted into convertible notes of NRX Pharmaceuticals with an aggregate principal amount of no more than approximately $2.7 million, which will bear interest at three percent (3%) per annum, and may be converted from time to time, at the holder’s option, into shares of Common Stock at a price of $10.00 per share, and which will mature on the date that is twenty-four (24) months after the date of the Merger closing. Any other borrowings not repaid or converted into convertible notes pursuant to the Merger Agreement will be forgiven or discharged prior to closing.</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Immediately after the closing of the Merger, NeuroRx’s stockholders will hold approximately 93% of the issued and outstanding shares of the Company’s Common Stock, the current stockholders of the Company will hold approximately 5% of the issued and outstanding Common Stock, and the PIPE Investors will hold approximately 2% of the issued and outstanding Common Stock, which pro forma ownership (i) takes into effect the forfeiture, termination and cancellation of 875,000 shares of Common Stock by the Sponsor and BRAC pursuant to the Merger Agreement, and the issuance to EBC of 200,000 shares of Common Stock in lieu of the cash fee owed to EBC under the existing Business Combination Marketing Agreement, (ii) takes into effect the exchange of each outstanding Right for one-tenth of one share of Common Stock pursuant to the terms of the Rights, (iii) assumes no holder of Public Shares exercises its conversion rights, (iv) includes the effect of the PIPE but does not include the effect of any other financing of the Company and (v) assumes the Earnout Shares Milestone is not satisfied immediately after the Closing.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ind w:right="400" w:firstLine="486"/>
        <w:spacing w:after="0" w:line="306" w:lineRule="auto"/>
        <w:rPr>
          <w:sz w:val="20"/>
          <w:szCs w:val="20"/>
          <w:color w:val="auto"/>
        </w:rPr>
      </w:pPr>
      <w:r>
        <w:rPr>
          <w:rFonts w:ascii="Arial" w:cs="Arial" w:eastAsia="Arial" w:hAnsi="Arial"/>
          <w:sz w:val="16"/>
          <w:szCs w:val="16"/>
          <w:color w:val="auto"/>
        </w:rPr>
        <w:t>In connection with the Merger, on March 12, 2021, the Company entered into Subscription Agreements the PIPE Investors, pursuant to which the Company will, substantially concurrently with, and contingent upon, the consummation of the Merger, issue an aggregate of 1,000,000 shares of Common Stock to the PIPE Investors at a price of $10.00 per share, for aggregate gross proceeds to the Company of $10,000,000.</w:t>
      </w:r>
    </w:p>
    <w:p>
      <w:pPr>
        <w:spacing w:after="0" w:line="93"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Common Stock shall have been approved for listing on the Nasdaq,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Extensions to Complete Business Combination</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July 23, 2020, our stockholders approved an amendment to the charter to extend the period of time for which we are required to consummate a Business Combination (the “Fifth Extension”) from July 23, 2020 to December 23, 2020. The number of shares of common stock presented for redemption in connection with the Fifth Extension was 27,786. We paid cash in amount of approximately $299,000, or approximately $10.77 per share, to redeeming stockholders. We agreed to deposit, or cause to be deposited on its behalf, into the Trust Account $0.02 for each public share outstanding for each 30-day extension period utilized through the Fifth Extension. In connection with this extension, we deposited an aggregate of $44,219 into the Trust Account to fund the extension through November 23, 2020.</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18, 2020, our stockholders approved an amendment to the charter to extend the date by which we must complete an initial business combination from December 23, 2020 to April 23, 2021 (the “Sixth Extension”). No stockholders exercised their right to convert their public shares into cash in connection with the Sixth Extension.</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March 22, 2021, the Company filed a preliminary proxy statement seeking approval from its stockholders to further amend its charter to extend the date by which the Company is required to complete its initial business combination.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23, 2020, the Company received a notice from the Listing Qualifications Department of The Nasdaq Stock Market LLC stating that, as of November 20, 2020, the Company was not in compliance with Listing Rule IM-5101-2,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 The Listing Qualifications Department had advised the Company that its securities would be subject to delisting unless it timely requested a hearing before an independent Hearings Panel. The Company appealed the ruling and Nasdaq scheduled the appeal for January 14, 2021. On January 4, 2021, the Company received an additional notice from Nasdaq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that this issue be added to the Nasdaq Appeal.</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Nasdaq’s decision is subject to certain conditions, including that the Company will have completed the Merger with NeuroRx on or before the Extended Date and that NRX Pharmaceuticals will have demonstrated compliance with all requirements for initial listing on Nasdaq.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neither engaged in any operations nor generated any revenues to date.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2020, we had a net loss of $439,412, which consists of operating expenses of $907,406, offset by interest income on securities held in the trust account established for the benefit of our public stockholders (the “Trust Account”) of $138,764 and the forgiveness of previously recorded professional fees of $352,071.</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the year ended December 31, 2019, we had a net income of $408,427, which consists of interest income on securities held in the Trust Account of $1,205,820, offset by operating costs of $713,187 and provision for income taxes of $84,206.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December 31, 2020, we had cash and marketable securities held in the Trust Account of $5,967,947 (including approximately $138,764 of interest income) consisting of money market funds. Interest income earned on the balance in the Trust Account may be used by us to pay taxes. To date, we have withdrawn $716,788 of interest from the Trust Account in order to pay our income and franchise taxes, of which $161,430 was withdrawn during the year ended December 31, 2020.</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2020, cash used in operating activities amounted to $598,617. Net loss of $434,412 was the result of the forgiveness of previously recorded professional fees in the amount of $352,071 and interest earned on securities held in the Trust Account of $138,764 and changes in operating assets and liabilities, which provided $326,630 of cash for operating activities.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cash used in operating activities amounted to $792,731. Net income of $408,427 was the result of interest earned on securities held in the Trust Account of $1,205,820, offset by changes in operating assets and liabilities, which provided $4,662 of cash for operating activities.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jc w:val="both"/>
        <w:ind w:firstLine="648"/>
        <w:spacing w:after="0" w:line="253" w:lineRule="auto"/>
        <w:rPr>
          <w:sz w:val="20"/>
          <w:szCs w:val="20"/>
          <w:color w:val="auto"/>
        </w:rPr>
      </w:pPr>
      <w:r>
        <w:rPr>
          <w:rFonts w:ascii="Arial" w:cs="Arial" w:eastAsia="Arial" w:hAnsi="Arial"/>
          <w:sz w:val="18"/>
          <w:szCs w:val="18"/>
          <w:color w:val="auto"/>
        </w:rPr>
        <w:t>We intend to use substantially all of the funds held in the Trust Account to acquire a target business or businesses and to pay our expenses relating thereto. To the extent that our capital stock is used, in whole or in part, as consideration to complete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2020, A/Z Property has loaned us an aggregate of approximately $862,148 in order to pay our Non-Business Combination Related Expenses and extension payments. Upon consummation of a Business Combination, up to $200,000 of the Non-Business Combination Related Expenses may be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 We repaid $35,000 of such loans during the year ended December 31, 2020.</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BRAC has loaned us an aggregate of approximately $1,809,889 in order to fund extension payments and other expenses.</w:t>
      </w:r>
    </w:p>
    <w:p>
      <w:pPr>
        <w:spacing w:after="0" w:line="24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The Business Combination Marketing Agreement between us and EarlyBirdCapital provides that we will pay EarlyBirdCapital a cash fee for such services upon the consummation of a Business Combination in an amount equal to 4.0% of the gross proceeds of the Initial Public Offering (exclusive of any applicable finders’ fees which might become payable). In connection with the proposed Merger with NeuroRx, EarlyBirdCapital agreed that, in lieu of such cash fee, it would be paid an aggregate of 200,000 shares of our common stock upon consummation of the Merger. If a Business Combination is not consummated for any reason, no fee will be due or payable.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common share, basic and diluted for and non-redeemable common stock is calculated by dividing net loss less income attributable to common stock subject to possible redemption, by the weighted average number of shares of non-redeemable common stock outstanding for the period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16 of this Form 10-K and is included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2020. Based upon their evaluation, our Chief Executive Officer and Chief Financial Officer concluded that our disclosure controls and procedures (as defined in Rules 13a-15(e) and 15d-15(e) under the Exchange Act) were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required by the SEC rules and regulations for the implementation of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166" w:lineRule="exact"/>
        <w:rPr>
          <w:sz w:val="20"/>
          <w:szCs w:val="20"/>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193"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2020.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as of December 31, 2020.</w:t>
      </w:r>
    </w:p>
    <w:p>
      <w:pPr>
        <w:spacing w:after="0" w:line="174"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This Form 10-K does not include an attestation report of internal controls from our independent registered public accounting firm due to our status as an emerging growth company under the JOBS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Form 10-K, our directors and officers are as set forth in the table below. There are no family relationships between any of our directors or senior management. There are no arrangements or understandings with major shareholders, customers, suppliers or others, pursuant to which any person referred to above was selected as a director or member of senior management. The Company is not aware of any agreements or arrangements between any director and any person or entity other than the Company relating to the compensation or other payments in connection with such director’s candidacy or service as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610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Richard Ackerman</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w:t>
            </w: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Bennett Kim</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48</w:t>
            </w:r>
          </w:p>
        </w:tc>
        <w:tc>
          <w:tcPr>
            <w:tcW w:w="6100" w:type="dxa"/>
            <w:vAlign w:val="bottom"/>
          </w:tcPr>
          <w:p>
            <w:pPr>
              <w:ind w:left="600"/>
              <w:spacing w:after="0"/>
              <w:rPr>
                <w:sz w:val="20"/>
                <w:szCs w:val="20"/>
                <w:color w:val="auto"/>
              </w:rPr>
            </w:pPr>
            <w:r>
              <w:rPr>
                <w:rFonts w:ascii="Arial" w:cs="Arial" w:eastAsia="Arial" w:hAnsi="Arial"/>
                <w:sz w:val="18"/>
                <w:szCs w:val="18"/>
                <w:color w:val="auto"/>
              </w:rPr>
              <w:t>Chief Financial Officer, Chief Investment Officer and 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w:t>
            </w: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Michael Fong</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76</w:t>
            </w:r>
          </w:p>
        </w:tc>
        <w:tc>
          <w:tcPr>
            <w:tcW w:w="61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Stuart F. Koenig</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w:t>
            </w: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Albert G. Rex</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66</w:t>
            </w:r>
          </w:p>
        </w:tc>
        <w:tc>
          <w:tcPr>
            <w:tcW w:w="61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Troy T. Taylor</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w:t>
            </w: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Richard Ackerman</w:t>
      </w:r>
      <w:r>
        <w:rPr>
          <w:rFonts w:ascii="Arial" w:cs="Arial" w:eastAsia="Arial" w:hAnsi="Arial"/>
          <w:sz w:val="16"/>
          <w:szCs w:val="16"/>
          <w:color w:val="auto"/>
        </w:rPr>
        <w:t>, our Chairman, President and Chief Executive Officer since September 18, 2017, formed Big Rock Partners (“BRP”) in 2004.</w:t>
      </w:r>
      <w:r>
        <w:rPr>
          <w:rFonts w:ascii="Arial" w:cs="Arial" w:eastAsia="Arial" w:hAnsi="Arial"/>
          <w:sz w:val="16"/>
          <w:szCs w:val="16"/>
          <w:b w:val="1"/>
          <w:bCs w:val="1"/>
          <w:color w:val="auto"/>
        </w:rPr>
        <w:t xml:space="preserve"> </w:t>
      </w:r>
      <w:r>
        <w:rPr>
          <w:rFonts w:ascii="Arial" w:cs="Arial" w:eastAsia="Arial" w:hAnsi="Arial"/>
          <w:sz w:val="16"/>
          <w:szCs w:val="16"/>
          <w:color w:val="auto"/>
        </w:rPr>
        <w:t>BRP is an opportunistic real estate investment firm that has invested in and managed over $800 million in assets since its formation. In 2012, BRP began to focus on senior housing development as there was a distinct supply – demand imbalance and fragmentation in senior housing developers, and formed Big Rock Senior Housing, a national leader in developing and managing new Class A senior housing communities of $50 million and more. Class A housing communities consist of prestigious buildings with high quality standard finishes, state of the art systems, exceptional accessibility and a defined market presence competing for premier senior housing users with rents above average for the area. Mr. Ackerman serves as the Senior Managing Principal of BRP and Big Rock Senior Housing. Prior to BRP, from 2001 to 2004, Mr. Ackerman served as the Head of the Los Angeles office of Apollo, overseeing all investments on the U.S. West Coast and Japan for the global private equity firm. In August 1999, Mr. Ackerman was appointed by Apollo as the Chief Executive Officer of Atlantic Gulf Communities Corporation (an Apollo portfolio company) in order to restructure the company and served in that capacity until April 2001. This publicly traded development and asset management company’s primary operations included the development and sale of home sites and land tracts and the construction and sale of oceanfront condominiums. From September 1996 to August 1999, Mr. Ackerman was President and co-founder of Crocker Realty Trust, a private REIT (an Apollo portfolio company) specializing in the ownership and development of office space in the southeastern United States. Prior to 1996, he was president and co-founder of Crocker Realty Investors, a publicly traded REIT and a portfolio company of the first Apollo Real Estate Investment Fund. The company specialized in the ownership and development of office space until its sale to Highwoods Properties, Inc. In addition to the foregoing business experience, Mr. Ackerman served as Chief Executive Officer and a director of ALDA Office Properties, Inc. (“</w:t>
      </w:r>
      <w:r>
        <w:rPr>
          <w:rFonts w:ascii="Arial" w:cs="Arial" w:eastAsia="Arial" w:hAnsi="Arial"/>
          <w:sz w:val="16"/>
          <w:szCs w:val="16"/>
          <w:u w:val="single" w:color="auto"/>
          <w:color w:val="auto"/>
        </w:rPr>
        <w:t>ALDA</w:t>
      </w:r>
      <w:r>
        <w:rPr>
          <w:rFonts w:ascii="Arial" w:cs="Arial" w:eastAsia="Arial" w:hAnsi="Arial"/>
          <w:sz w:val="16"/>
          <w:szCs w:val="16"/>
          <w:color w:val="auto"/>
        </w:rPr>
        <w:t>”) during 2011. ALDA was formed in 2011 to acquire, own and operate office properties in select markets primarily in Northern and Southern California. In 2011, ALDA filed a registration statement for its initial public offering, which offering was subsequently abandoned due to market conditions. Mr. Ackerman is also a former Director of Summerville Senior Living, Inc., which is one of the largest assisted living companies in the nation. Mr. Ackerman graduated with a B.A. from Tulane University and a J.D. from the Tulane School of Law.</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Bennett Kim</w:t>
      </w:r>
      <w:r>
        <w:rPr>
          <w:rFonts w:ascii="Arial" w:cs="Arial" w:eastAsia="Arial" w:hAnsi="Arial"/>
          <w:sz w:val="16"/>
          <w:szCs w:val="16"/>
          <w:color w:val="auto"/>
        </w:rPr>
        <w:t>, our Chief Financial Officer and a director since February 7, 2020 and Chief Investment Officer and Corporate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18, 2017, has served as the Managing Principal of Big Rock Senior Housing since January 2016. Mr. Kim was the Chief Investment Officer at BRP from May 2006 to July 2014 and was responsible for acquisitions, development, asset management, and dispositions. From July 2014 to December 2015, Mr. Kim served as the Head of Acquisitions for Carefree Communities, the fifth largest national owner and operator of manufactured housing communities and RV parks with 103 communities and 28,000 sites. From January 2001 to May 2006, Mr. Kim served as a Vice President at Apollo and was responsible for new investments and investment management including the development of a $400 million mixed-use project that consists of two hotels, two condominium towers, retail, office and structured parking. Mr. Kim also formulated work-out strategies for one of the largest assisted living companies in the nation while at Apollo. Between 1999 to 2000, Mr. Kim was an Assistant Vice President at Oaktree Capital Management, where he evaluated and executed investments in the U.S. and Japan for funds then totaling $1.7 billion of equity. Previously, Mr. Kim worked as an Associate at Merrill Lynch Real Estate Investment Banking, where he evaluated financing alternatives for public and private real estate companies. Mr. Kim also worked as a Senior Analyst at Walt Disney Imagineering and as an Analyst at Disney Development Company. Mr. Kim graduated with an M.B.A. from Harvard Business School and a B.A. in Economics from UCLA.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firstLine="648"/>
        <w:spacing w:after="0" w:line="288" w:lineRule="auto"/>
        <w:rPr>
          <w:sz w:val="20"/>
          <w:szCs w:val="20"/>
          <w:color w:val="auto"/>
        </w:rPr>
      </w:pPr>
      <w:r>
        <w:rPr>
          <w:rFonts w:ascii="Arial" w:cs="Arial" w:eastAsia="Arial" w:hAnsi="Arial"/>
          <w:sz w:val="16"/>
          <w:szCs w:val="16"/>
          <w:b w:val="1"/>
          <w:bCs w:val="1"/>
          <w:color w:val="auto"/>
        </w:rPr>
        <w:t>Richard J. Birdoff</w:t>
      </w:r>
      <w:r>
        <w:rPr>
          <w:rFonts w:ascii="Arial" w:cs="Arial" w:eastAsia="Arial" w:hAnsi="Arial"/>
          <w:sz w:val="16"/>
          <w:szCs w:val="16"/>
          <w:color w:val="auto"/>
        </w:rPr>
        <w:t>, who has served as one of our directors since November 20, 2017, has served as President of RD Management and Realty</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Development Corp. (“</w:t>
      </w:r>
      <w:r>
        <w:rPr>
          <w:rFonts w:ascii="Arial" w:cs="Arial" w:eastAsia="Arial" w:hAnsi="Arial"/>
          <w:sz w:val="16"/>
          <w:szCs w:val="16"/>
          <w:u w:val="single" w:color="auto"/>
          <w:color w:val="auto"/>
        </w:rPr>
        <w:t>RD Management</w:t>
      </w:r>
      <w:r>
        <w:rPr>
          <w:rFonts w:ascii="Arial" w:cs="Arial" w:eastAsia="Arial" w:hAnsi="Arial"/>
          <w:sz w:val="16"/>
          <w:szCs w:val="16"/>
          <w:color w:val="auto"/>
        </w:rPr>
        <w:t>”), a privately held retail real estate developer and manager, since January 2015. Mr. Birdoff is responsible for all aspects of the day-to-day operations of the company including development, construction, acquisitions, sales and dispositions. Mr. Birdoff joined RD Management in 1991 as a principal and Executive Vice President and since 1994, he has developed in excess of 10,000,000 sq. ft. of shopping centers. Mr. Birdoff previously served on the Board of Directors of Crocker Realty Investors, a Florida based publicly held real estate investment trust. Mr. Birdoff has been engaged in the real estate business for more than 30 years. He received an undergraduate degree from Emory College in 1980 and his Juris Doctorate degree in 1983 from Emory University Law School. Following his graduation, Mr. Birdoff worked for IRT Properties in Atlanta, Georgia. Thereafter, in 1984, he joined Bertram Associates of Union, New Jersey where Mr. Birdoff served as associate counsel. Bertram Associates, at the time was one of New Jersey’s largest residential developers. Mr. Birdoff then transitioned to be a principal in the real estate development industry with Bertram Associates focusing on site acquisition, construction and sales of residential homes.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Michael Fong</w:t>
      </w:r>
      <w:r>
        <w:rPr>
          <w:rFonts w:ascii="Arial" w:cs="Arial" w:eastAsia="Arial" w:hAnsi="Arial"/>
          <w:sz w:val="16"/>
          <w:szCs w:val="16"/>
          <w:color w:val="auto"/>
        </w:rPr>
        <w:t>, who has served as one of our directors since November 20, 2017, serves as the Chairman and Chief Executive Officer of JF</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Ltd. (“</w:t>
      </w:r>
      <w:r>
        <w:rPr>
          <w:rFonts w:ascii="Arial" w:cs="Arial" w:eastAsia="Arial" w:hAnsi="Arial"/>
          <w:sz w:val="16"/>
          <w:szCs w:val="16"/>
          <w:u w:val="single" w:color="auto"/>
          <w:color w:val="auto"/>
        </w:rPr>
        <w:t>JF International</w:t>
      </w:r>
      <w:r>
        <w:rPr>
          <w:rFonts w:ascii="Arial" w:cs="Arial" w:eastAsia="Arial" w:hAnsi="Arial"/>
          <w:sz w:val="16"/>
          <w:szCs w:val="16"/>
          <w:color w:val="auto"/>
        </w:rPr>
        <w:t>”), a private equity firm he founded since 2003. JF International invests and manages a diversified portfolio of worldwide investments in real estate and operating companies. In 2015, JF International joined with BRP to invest in the luxury senior housing sector. From 1994 to 2003, Mr. Fong was the Managing Director of The ALJ Group, which is based in Jeddah, Kingdom of Saudi Arabia and is one of the largest privately held business enterprises in the Middle East. Mr. Fong also previously served from 1990 to 1994 as the President of Jaymont Properties, Inc., a real estate development and management company with a substantial portfolio of premier office and mixed used properties located in the central business district of major cities such as New York, Boston, San Francisco, Orlando, Chicago, and Miami. From 1979 to 1990, Mr. Fong was President of Intercap Investments, Inc., a commercial developer of real estate central business district projects in Miami and Coral Gables. From 1998 to 1999, Mr. Fong was the President of the Coral Gables, FL Chamber of Commerce and served on its Board of Directors for several years. Prior to 1979, Mr. Fong was President of Interfin Investments, Inc., an investment banking firm based in Lincoln, Nebraska and New York. From 1975 to 1979, Mr. Fong was a Vice President and also served as Assistant to the President of DuPont Walston, Inc., a major retail brokerage and investment banking firm with over 200 branches across the United States. Mr. Fong began his business career in 1971 with EDS, a firm founded by H. Ross Perot, and was sent to New York when Mr. Perot made an investment in DuPont Glore Forgan when EDS was awarded a major data processing contract for redesigning a new system for the brokerage business.</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Stuart Koenig</w:t>
      </w:r>
      <w:r>
        <w:rPr>
          <w:rFonts w:ascii="Arial" w:cs="Arial" w:eastAsia="Arial" w:hAnsi="Arial"/>
          <w:sz w:val="16"/>
          <w:szCs w:val="16"/>
          <w:color w:val="auto"/>
        </w:rPr>
        <w:t>, who has served as one of our directors since November 20, 2017, has over forty years of diversified experience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banking and financial services industries. His experience includes every aspect of commercial and residential real estate including acquisition, financing, leasing, property management and disposition. Mr. Koenig most recently served as a Senior Partner in the real estate division of Ares Management, LP (“</w:t>
      </w:r>
      <w:r>
        <w:rPr>
          <w:rFonts w:ascii="Arial" w:cs="Arial" w:eastAsia="Arial" w:hAnsi="Arial"/>
          <w:sz w:val="16"/>
          <w:szCs w:val="16"/>
          <w:u w:val="single" w:color="auto"/>
          <w:color w:val="auto"/>
        </w:rPr>
        <w:t>Ares</w:t>
      </w:r>
      <w:r>
        <w:rPr>
          <w:rFonts w:ascii="Arial" w:cs="Arial" w:eastAsia="Arial" w:hAnsi="Arial"/>
          <w:sz w:val="16"/>
          <w:szCs w:val="16"/>
          <w:color w:val="auto"/>
        </w:rPr>
        <w:t>”), a global alternative asset manager with over $100 billion of assets under management, from 2013 to 2016. Mr. Koenig served as Chair of the Investment Committees of the real estate funds of Ares, which collectively had $8 billion under management. From 1995 to 2013, Mr. Koenig served as the Global Chief Financial Officer, Chief Administrative Officer and Senior Partner of AREA Property Partners (“</w:t>
      </w:r>
      <w:r>
        <w:rPr>
          <w:rFonts w:ascii="Arial" w:cs="Arial" w:eastAsia="Arial" w:hAnsi="Arial"/>
          <w:sz w:val="16"/>
          <w:szCs w:val="16"/>
          <w:u w:val="single" w:color="auto"/>
          <w:color w:val="auto"/>
        </w:rPr>
        <w:t>AREA</w:t>
      </w:r>
      <w:r>
        <w:rPr>
          <w:rFonts w:ascii="Arial" w:cs="Arial" w:eastAsia="Arial" w:hAnsi="Arial"/>
          <w:sz w:val="16"/>
          <w:szCs w:val="16"/>
          <w:color w:val="auto"/>
        </w:rPr>
        <w:t>”), a global real estate investment and asset management firm that raised and invested approximately $14 billion of client equity in more than 600 transactions across all sectors of real estate. Mr. Koenig oversaw the financing and administrative activities for AREA and was also responsible for its reporting, human resources, compliance, legal and structuring activities. Mr. Koenig helped negotiate and execute the sale of AREA to Ares Management in 2013. Prior to AREA, Mr. Koenig worked in various positions in investment bank including Goldman Sachs &amp; Co. (1986-1994) and EF Hutton Inc. (1981-1986). From 1997-2014, Mr. Koenig served as the lead independent director and member of the compensation committee of Emeritus Corporation (NYSE: ESC) one of the largest publicly traded owners and operators of assisted living facilities in the country and helped oversee the sale of the company to Brookdale Senior Living (NYSE: BKD) in 2014. Mr. Koenig currently serves as Trustee for the Binghamton University Endowment Fund and is Chair of its Investment Committee and also provides consulting services for the U.S. investment activity of Profimex, an Israel based real estate investment firm. Mr. Koenig has a B.A. from Binghamton University and an MBA from Baruch College of the City University of N.Y.</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Albert G. Rex</w:t>
      </w:r>
      <w:r>
        <w:rPr>
          <w:rFonts w:ascii="Arial" w:cs="Arial" w:eastAsia="Arial" w:hAnsi="Arial"/>
          <w:sz w:val="16"/>
          <w:szCs w:val="16"/>
          <w:color w:val="auto"/>
        </w:rPr>
        <w:t>, who has served as one of our directors since November 20, 2017, has served as the Managing Director of Walker &amp; Dunlop, a</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real estate finance company, since May 2012. In this role, Mr. Rex has been involved in over 1500 loans totaling more than $15 billion in transactions. Mr. Rex has over 40 years of experience in the financing and equity aspects of commercial real estate development throughout the U.S. with a focus on the Southeast region. Mr. Rex spent the majority of his career as a Managing Partner with Carey Kramer, a company he helped found in 1983 and ultimately owned solely from 2001 until it merged with Collateral Real Estate Capital in 2005. Collateral later merged with Laureate Capital, LLC in 2007, to form Grandbridge Real Estate Capital, LLC, a wholly-owned subsidiary of BB&amp;T. Mr. Rex is a graduate of University of Florida with a degree in Finance and Real Estate and serves on their Real Estate Advisory Board. He is an active member of the Mortgage Bankers Association (MBA), Urban Land Institute (ULI), International Council of Shopping Centers (ICSC), and National Association of Industrial and Office Properties (NAIOP), where he has served as President of the South Florida Chapter.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9" w:name="page40"/>
    <w:bookmarkEnd w:id="39"/>
    <w:p>
      <w:pPr>
        <w:jc w:val="both"/>
        <w:ind w:firstLine="648"/>
        <w:spacing w:after="0" w:line="288" w:lineRule="auto"/>
        <w:rPr>
          <w:sz w:val="20"/>
          <w:szCs w:val="20"/>
          <w:color w:val="auto"/>
        </w:rPr>
      </w:pPr>
      <w:r>
        <w:rPr>
          <w:rFonts w:ascii="Arial" w:cs="Arial" w:eastAsia="Arial" w:hAnsi="Arial"/>
          <w:sz w:val="16"/>
          <w:szCs w:val="16"/>
          <w:b w:val="1"/>
          <w:bCs w:val="1"/>
          <w:color w:val="auto"/>
        </w:rPr>
        <w:t>Troy T. Taylor</w:t>
      </w:r>
      <w:r>
        <w:rPr>
          <w:rFonts w:ascii="Arial" w:cs="Arial" w:eastAsia="Arial" w:hAnsi="Arial"/>
          <w:sz w:val="16"/>
          <w:szCs w:val="16"/>
          <w:color w:val="auto"/>
        </w:rPr>
        <w:t>, who has served as one of our directors since November 20, 2017, has served as President of Algon Group, an advisory firm he</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since 2002. Algon Group is a specialized financial firm providing sophisticated financial advisory services to stakeholders with complex, challenging, and financially distressed situations. Mr. Taylor has 25 years of experience including investment banking, restructuring (both in Chapter 11 and out-of-court) and senior management. Mr. Taylor has served as the Chief Restructuring Officer, Chief Executive Officer or Lead Financial Advisor in a broad range of industries including manufacturing, distribution, hospitality, real estate and retail. He has also served as a member of the Board of Directors of several public and private companies, including Keystone Consolidated Industries, Inc., Barjan, Inc., and 1-800-AutoTow, Inc. He currently serves as Vice Chairman of Hyperion Bank located in Philadelphia. Before 2002, Mr. Taylor served in various capacities with GMA Partners, Inc., KPMG Peat Marwick, LLP, Morgan Keegan &amp; Company, Inc., Oppenheimer &amp; Co., Inc. and Thomson McKinnon Securities, Inc. Mr. Taylor received his B.S. in Economics and his MBA from The Wharton School, University of Pennsylvania.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the date hereof, the Company has no employees except its two executive officers who receive no compensation from the Company. These individuals are not obligated to devote any specific number of hours to our matters but they intend to devote as much of their time as they deem necessary to our affairs until we have completed our initial business combination. We do not have, and do not intend to have, any full time employees prior to the consummation of our initial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The rules of Nasdaq and Rule 10A-3 of the Exchange Act as required by the rules of the Nasdaq, require that the audit committee and the compensation committee of a listed company be comprised solely of independent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committee of the board of directors consists of Messrs. Fong, Rex and Taylor (Chair), each of whom is an independent director under Nasdaq’s listing standards. The audit committee’s duties, which are specified in our Audit Committee Charter, include:</w:t>
      </w:r>
    </w:p>
    <w:p>
      <w:pPr>
        <w:spacing w:after="0" w:line="186" w:lineRule="exact"/>
        <w:rPr>
          <w:sz w:val="20"/>
          <w:szCs w:val="20"/>
          <w:color w:val="auto"/>
        </w:rPr>
      </w:pPr>
    </w:p>
    <w:p>
      <w:pPr>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The audit committee has been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Taylor qualifies as an “audit committee financial expert,” as defined under rules and regulations of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Our nominating committee of our board of directors consists of Messrs. Fong, Koenig, Rex (Chair),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2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of the board of directors consists of Messrs. Birdoff, Koenig (Chair) and Taylor, each of whom is an independent director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Nasdaq’s listing standards. The compensation committee’s duties, which are specified in our Compensation Committee Charter, include, but are not limited to:</w:t>
      </w:r>
    </w:p>
    <w:p>
      <w:pPr>
        <w:spacing w:after="0" w:line="242" w:lineRule="exact"/>
        <w:rPr>
          <w:sz w:val="20"/>
          <w:szCs w:val="20"/>
          <w:color w:val="auto"/>
        </w:rPr>
      </w:pPr>
    </w:p>
    <w:p>
      <w:pPr>
        <w:jc w:val="both"/>
        <w:ind w:left="660" w:hanging="328"/>
        <w:spacing w:after="0" w:line="25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adopted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provides that, subject to certain limitations, we shall indemnify our directors and officers against all expenses, including legal fees, and against all judgments, fines and amounts paid in settlement and reasonably incurred in connection with legal, administrative or investigative proceedings. Such indemnity only applies if the person acted honestly and in good faith with a view to our best interests and, in the case of criminal proceedings, the person had no reasonable cause to believe that his or her conduct was unlawful. The decision of the directors as to whether the person acted honestly and in good faith and with a view to our best interests and as to whether the person had no reasonable cause to believe that his conduct was unlawful and is, in the absence of fraud, sufficient for the purposes of the amended and restated certificate of incorporation, unless a question of law is involved. The termination of any proceedings by any judgment, order, settlement, conviction or the entering of a nolle prosequi does not, by itself, create a presumption that the person did not act honestly and in good faith and with a view to our best interests or that the person had reasonable cause to believe that his conduct was unlawful.</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our amended and restated certificate of incorporation. Our amended and restated certificate of incorporation also will permit us to purchase and maintain insurance on behalf of any officer or director who at the request of the Company is or was serving as a director or officer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our amended and restated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provisions may discourage shareholders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Furthermore, a shareholder’s investment may be adversely affected to the extent we pay the costs of settlement and damage awards against officers and directors pursuant to these indemnification provisions.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From November 20, 2017 through August 20, 2018, we paid our Sponsor an aggregate fee of up to $10,000 per month for providing us with office space and certain office and secretarial services. This arrangement was solely for our benefit and was not intended to provide our executive officers or directors compensation in lieu of a salary. Effective August 20, 2018, Sponsor agreed to stop charging us the monthly administrative fee.</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compensation or fees of any kind, including finder’s, consulting fees and other similar fees, will be paid to our Sponsor, BRAC, our officers or directors, or their respective affiliates, for services rendered prior to or in connection with the consummation of our initial business combination (regardless of the type of transaction that it is). However, they will receive repayment of any loans made by the,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In connection with the proposed business combination with NeuroRx, if such business combination is completed, our Sponsor and lenders agreed to only seek repayment of outstanding working capital loans to the extent the amount remaining amount remaining in the trust account after taking into account conversions by public stockholders, plus any amounts raised in the PIPE or any other financing, exceeds $5 million. The Sponsor and lenders further agreed that amounts not repaid will be converted into two-year convertible promissory notes with a principal amount of no more than approximately $2.7 million, which will bear interest at three percent (3%) per annum. Such arrangements are described in detail in the Registration Statement on Form S-4, and the preliminary proxy statement/prospectus/consent solicitation statement included therein, filed by the Company with the SEC on January 27, 2021. There is no limit on the amount of out-of-pocket expenses reimbursable by us.</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and Outstanding Equity Awards at Fiscal Year-End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equity incentive plans under which to grant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paid our directors fees in the past for attending board meetings. In the future, we may adopt a policy of paying independent directors a fee for their attendance at board and committee meetings. We reimburse each director for reasonable travel expenses related to such director’s attendance at board of directors and committee meetings.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ind w:right="80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the beneficial ownership of the Company’s common stock as of the date of this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 by:</w:t>
      </w:r>
    </w:p>
    <w:p>
      <w:pPr>
        <w:spacing w:after="0" w:line="21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officers, directors and senior advisors;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As of the date of this Form 10-K, there were a total of 2,688,242 shares of common stock outstanding. Unless otherwise indicated, all persons named in the table have sole voting and investment power with respect to all shares of common stock beneficially owned by them. The following table does not reflect beneficial ownership of the Company’s rights or warrants as these rights and warrants are not convertible or exercisable, respectively, within 60 days of the date of this Form 10-K.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3480" w:type="dxa"/>
            <w:vAlign w:val="bottom"/>
          </w:tcPr>
          <w:p>
            <w:pPr>
              <w:jc w:val="center"/>
              <w:ind w:left="2336"/>
              <w:spacing w:after="0"/>
              <w:rPr>
                <w:sz w:val="20"/>
                <w:szCs w:val="20"/>
                <w:color w:val="auto"/>
              </w:rPr>
            </w:pPr>
            <w:r>
              <w:rPr>
                <w:rFonts w:ascii="Arial" w:cs="Arial" w:eastAsia="Arial" w:hAnsi="Arial"/>
                <w:sz w:val="15"/>
                <w:szCs w:val="15"/>
                <w:b w:val="1"/>
                <w:bCs w:val="1"/>
                <w:color w:val="auto"/>
                <w:w w:val="89"/>
              </w:rPr>
              <w:t>Amount and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3480" w:type="dxa"/>
            <w:vAlign w:val="bottom"/>
          </w:tcPr>
          <w:p>
            <w:pPr>
              <w:jc w:val="center"/>
              <w:ind w:left="2336"/>
              <w:spacing w:after="0" w:line="162" w:lineRule="exact"/>
              <w:rPr>
                <w:sz w:val="20"/>
                <w:szCs w:val="20"/>
                <w:color w:val="auto"/>
              </w:rPr>
            </w:pPr>
            <w:r>
              <w:rPr>
                <w:rFonts w:ascii="Arial" w:cs="Arial" w:eastAsia="Arial" w:hAnsi="Arial"/>
                <w:sz w:val="15"/>
                <w:szCs w:val="15"/>
                <w:b w:val="1"/>
                <w:bCs w:val="1"/>
                <w:color w:val="auto"/>
                <w:w w:val="94"/>
              </w:rPr>
              <w:t>Nature of</w:t>
            </w:r>
          </w:p>
        </w:tc>
        <w:tc>
          <w:tcPr>
            <w:tcW w:w="140" w:type="dxa"/>
            <w:vAlign w:val="bottom"/>
          </w:tcPr>
          <w:p>
            <w:pPr>
              <w:spacing w:after="0"/>
              <w:rPr>
                <w:sz w:val="14"/>
                <w:szCs w:val="14"/>
                <w:color w:val="auto"/>
              </w:rPr>
            </w:pPr>
          </w:p>
        </w:tc>
        <w:tc>
          <w:tcPr>
            <w:tcW w:w="1360" w:type="dxa"/>
            <w:vAlign w:val="bottom"/>
            <w:gridSpan w:val="3"/>
          </w:tcPr>
          <w:p>
            <w:pPr>
              <w:jc w:val="center"/>
              <w:ind w:right="20"/>
              <w:spacing w:after="0" w:line="162" w:lineRule="exact"/>
              <w:rPr>
                <w:sz w:val="20"/>
                <w:szCs w:val="20"/>
                <w:color w:val="auto"/>
              </w:rPr>
            </w:pPr>
            <w:r>
              <w:rPr>
                <w:rFonts w:ascii="Arial" w:cs="Arial" w:eastAsia="Arial" w:hAnsi="Arial"/>
                <w:sz w:val="15"/>
                <w:szCs w:val="15"/>
                <w:b w:val="1"/>
                <w:bCs w:val="1"/>
                <w:color w:val="auto"/>
                <w:w w:val="86"/>
              </w:rPr>
              <w:t>Percentage of</w:t>
            </w:r>
          </w:p>
        </w:tc>
      </w:tr>
      <w:tr>
        <w:trPr>
          <w:trHeight w:val="162"/>
        </w:trPr>
        <w:tc>
          <w:tcPr>
            <w:tcW w:w="6280" w:type="dxa"/>
            <w:vAlign w:val="bottom"/>
          </w:tcPr>
          <w:p>
            <w:pPr>
              <w:spacing w:after="0"/>
              <w:rPr>
                <w:sz w:val="14"/>
                <w:szCs w:val="14"/>
                <w:color w:val="auto"/>
              </w:rPr>
            </w:pPr>
          </w:p>
        </w:tc>
        <w:tc>
          <w:tcPr>
            <w:tcW w:w="3480" w:type="dxa"/>
            <w:vAlign w:val="bottom"/>
          </w:tcPr>
          <w:p>
            <w:pPr>
              <w:jc w:val="center"/>
              <w:ind w:left="2336"/>
              <w:spacing w:after="0" w:line="162" w:lineRule="exact"/>
              <w:rPr>
                <w:sz w:val="20"/>
                <w:szCs w:val="20"/>
                <w:color w:val="auto"/>
              </w:rPr>
            </w:pPr>
            <w:r>
              <w:rPr>
                <w:rFonts w:ascii="Arial" w:cs="Arial" w:eastAsia="Arial" w:hAnsi="Arial"/>
                <w:sz w:val="15"/>
                <w:szCs w:val="15"/>
                <w:b w:val="1"/>
                <w:bCs w:val="1"/>
                <w:color w:val="auto"/>
                <w:w w:val="87"/>
              </w:rPr>
              <w:t>Beneficial</w:t>
            </w:r>
          </w:p>
        </w:tc>
        <w:tc>
          <w:tcPr>
            <w:tcW w:w="140" w:type="dxa"/>
            <w:vAlign w:val="bottom"/>
          </w:tcPr>
          <w:p>
            <w:pPr>
              <w:spacing w:after="0"/>
              <w:rPr>
                <w:sz w:val="14"/>
                <w:szCs w:val="14"/>
                <w:color w:val="auto"/>
              </w:rPr>
            </w:pPr>
          </w:p>
        </w:tc>
        <w:tc>
          <w:tcPr>
            <w:tcW w:w="1360" w:type="dxa"/>
            <w:vAlign w:val="bottom"/>
            <w:gridSpan w:val="3"/>
          </w:tcPr>
          <w:p>
            <w:pPr>
              <w:jc w:val="center"/>
              <w:ind w:right="20"/>
              <w:spacing w:after="0" w:line="162" w:lineRule="exact"/>
              <w:rPr>
                <w:sz w:val="20"/>
                <w:szCs w:val="20"/>
                <w:color w:val="auto"/>
              </w:rPr>
            </w:pPr>
            <w:r>
              <w:rPr>
                <w:rFonts w:ascii="Arial" w:cs="Arial" w:eastAsia="Arial" w:hAnsi="Arial"/>
                <w:sz w:val="15"/>
                <w:szCs w:val="15"/>
                <w:b w:val="1"/>
                <w:bCs w:val="1"/>
                <w:color w:val="auto"/>
                <w:w w:val="88"/>
              </w:rPr>
              <w:t>Outstanding</w:t>
            </w:r>
          </w:p>
        </w:tc>
      </w:tr>
      <w:tr>
        <w:trPr>
          <w:trHeight w:val="182"/>
        </w:trPr>
        <w:tc>
          <w:tcPr>
            <w:tcW w:w="6280" w:type="dxa"/>
            <w:vAlign w:val="bottom"/>
          </w:tcPr>
          <w:p>
            <w:pPr>
              <w:spacing w:after="0"/>
              <w:rPr>
                <w:sz w:val="20"/>
                <w:szCs w:val="20"/>
                <w:color w:val="auto"/>
              </w:rPr>
            </w:pPr>
            <w:r>
              <w:rPr>
                <w:rFonts w:ascii="Arial" w:cs="Arial" w:eastAsia="Arial" w:hAnsi="Arial"/>
                <w:sz w:val="15"/>
                <w:szCs w:val="15"/>
                <w:b w:val="1"/>
                <w:bCs w:val="1"/>
                <w:color w:val="auto"/>
              </w:rPr>
              <w:t>Name and Address of Beneficial Owner (1)</w:t>
            </w:r>
          </w:p>
        </w:tc>
        <w:tc>
          <w:tcPr>
            <w:tcW w:w="3480" w:type="dxa"/>
            <w:vAlign w:val="bottom"/>
          </w:tcPr>
          <w:p>
            <w:pPr>
              <w:jc w:val="center"/>
              <w:ind w:left="2336"/>
              <w:spacing w:after="0"/>
              <w:rPr>
                <w:sz w:val="20"/>
                <w:szCs w:val="20"/>
                <w:color w:val="auto"/>
              </w:rPr>
            </w:pPr>
            <w:r>
              <w:rPr>
                <w:rFonts w:ascii="Arial" w:cs="Arial" w:eastAsia="Arial" w:hAnsi="Arial"/>
                <w:sz w:val="15"/>
                <w:szCs w:val="15"/>
                <w:b w:val="1"/>
                <w:bCs w:val="1"/>
                <w:color w:val="auto"/>
                <w:w w:val="90"/>
              </w:rPr>
              <w:t>Ownership</w:t>
            </w:r>
          </w:p>
        </w:tc>
        <w:tc>
          <w:tcPr>
            <w:tcW w:w="140" w:type="dxa"/>
            <w:vAlign w:val="bottom"/>
          </w:tcPr>
          <w:p>
            <w:pPr>
              <w:spacing w:after="0"/>
              <w:rPr>
                <w:sz w:val="15"/>
                <w:szCs w:val="15"/>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83"/>
              </w:rPr>
              <w:t>Shares</w:t>
            </w:r>
          </w:p>
        </w:tc>
      </w:tr>
      <w:tr>
        <w:trPr>
          <w:trHeight w:val="241"/>
        </w:trPr>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Officers and Directors</w:t>
            </w:r>
          </w:p>
        </w:tc>
        <w:tc>
          <w:tcPr>
            <w:tcW w:w="3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Richard Ackerman (2)</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Bennett Kim</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Michael Fong</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Stuart Koenig (3)</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Albert G. Rex (3)</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Troy T. Taylor (3)</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Officers and Directors as a Group (7 individuals)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BRAC Lending Group LLC (4)</w:t>
            </w:r>
          </w:p>
        </w:tc>
        <w:tc>
          <w:tcPr>
            <w:tcW w:w="3480" w:type="dxa"/>
            <w:vAlign w:val="bottom"/>
          </w:tcPr>
          <w:p>
            <w:pPr>
              <w:jc w:val="right"/>
              <w:spacing w:after="0"/>
              <w:rPr>
                <w:sz w:val="20"/>
                <w:szCs w:val="20"/>
                <w:color w:val="auto"/>
              </w:rPr>
            </w:pPr>
            <w:r>
              <w:rPr>
                <w:rFonts w:ascii="Arial" w:cs="Arial" w:eastAsia="Arial" w:hAnsi="Arial"/>
                <w:sz w:val="18"/>
                <w:szCs w:val="18"/>
                <w:color w:val="auto"/>
              </w:rPr>
              <w:t>1,432,000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53.27%</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Big Rock Partners Sponsor, LLC (2)</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EarlyBirdCapital, Inc. (5)</w:t>
            </w:r>
          </w:p>
        </w:tc>
        <w:tc>
          <w:tcPr>
            <w:tcW w:w="3480" w:type="dxa"/>
            <w:vAlign w:val="bottom"/>
          </w:tcPr>
          <w:p>
            <w:pPr>
              <w:jc w:val="right"/>
              <w:spacing w:after="0"/>
              <w:rPr>
                <w:sz w:val="20"/>
                <w:szCs w:val="20"/>
                <w:color w:val="auto"/>
              </w:rPr>
            </w:pPr>
            <w:r>
              <w:rPr>
                <w:rFonts w:ascii="Arial" w:cs="Arial" w:eastAsia="Arial" w:hAnsi="Arial"/>
                <w:sz w:val="18"/>
                <w:szCs w:val="18"/>
                <w:color w:val="auto"/>
              </w:rPr>
              <w:t>138,000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r>
    </w:tbl>
    <w:p>
      <w:pPr>
        <w:spacing w:after="0" w:line="201" w:lineRule="exact"/>
        <w:rPr>
          <w:sz w:val="20"/>
          <w:szCs w:val="20"/>
          <w:color w:val="auto"/>
        </w:rPr>
      </w:pPr>
    </w:p>
    <w:p>
      <w:pPr>
        <w:ind w:left="1300" w:right="20" w:hanging="644"/>
        <w:spacing w:after="0" w:line="25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noted, the address of each beneficial owner is c/o Big Rock Partners Acquisition Corp, 2645 N. Federal Highway, Suite 230, Delray Beach, FL 33483.</w:t>
      </w:r>
    </w:p>
    <w:p>
      <w:pPr>
        <w:jc w:val="both"/>
        <w:ind w:left="1300" w:right="20" w:hanging="644"/>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Richard Ackerman is the President, Chairman and Chief Executive Officer of Big Rock Partners Acquisition Corp. and the managing member of Big Rock Partners Sponsor, LLC and has the sole voting and dispositive power of the securities held by the Sponsor. Accordingly. Mr. Ackerman may be deemed to have beneficial ownership of such shares.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include shares held by Big Rock Partners Sponsor, LLC. This individual is a member of Big Rock Partners Sponsor, LLC.</w:t>
      </w:r>
    </w:p>
    <w:p>
      <w:pPr>
        <w:spacing w:after="0" w:line="32" w:lineRule="exact"/>
        <w:rPr>
          <w:rFonts w:ascii="Arial" w:cs="Arial" w:eastAsia="Arial" w:hAnsi="Arial"/>
          <w:sz w:val="16"/>
          <w:szCs w:val="16"/>
          <w:color w:val="auto"/>
        </w:rPr>
      </w:pPr>
    </w:p>
    <w:p>
      <w:pPr>
        <w:ind w:left="1300" w:right="40" w:hanging="644"/>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was obtained from a Schedule 13D filed on November 26, 2018 with the SEC. Each of David M. Nussbaum and Steven Levine is a managing member of BRAC Lending Group LLC.</w:t>
      </w:r>
    </w:p>
    <w:p>
      <w:pPr>
        <w:ind w:left="1300" w:right="200" w:hanging="644"/>
        <w:spacing w:after="0" w:line="30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business address of EarlyBirdCapital, Inc. is One Huntington Quadrangle, Suite 4C18, Melville, NY 11747. Each of David M. Nussbaum and Steven Levine control the voting and investment power over the securities held by EarlyBirdCapital, Inc. EarlyBirdCapital, Inc. was the representative of the underwriters of the Company’s initial public offering.</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44" w:name="page45"/>
    <w:bookmarkEnd w:id="44"/>
    <w:p>
      <w:pPr>
        <w:jc w:val="both"/>
        <w:ind w:firstLine="648"/>
        <w:spacing w:after="0" w:line="288" w:lineRule="auto"/>
        <w:rPr>
          <w:sz w:val="20"/>
          <w:szCs w:val="20"/>
          <w:color w:val="auto"/>
        </w:rPr>
      </w:pPr>
      <w:r>
        <w:rPr>
          <w:rFonts w:ascii="Arial" w:cs="Arial" w:eastAsia="Arial" w:hAnsi="Arial"/>
          <w:sz w:val="16"/>
          <w:szCs w:val="16"/>
          <w:color w:val="auto"/>
        </w:rPr>
        <w:t>All of the insider shares are being held in escrow with Continental Stock Transfer &amp; Trust Company, as escrow agent, until (1) with respect to 50% of the insider shares, the earlier of one year after the date of the consummation of our initial business combination and the date on which the closing price of our shares of common stock equals or exceeds $12.50 per share (as adjusted for share splits, share dividends, reorganizations and recapitalizations) for any 20 trading days within any 30-trading day period commencing after our initial business combination and (2) with respect to the remaining 50% of the insider shares, one year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In connection with the proposed business combination with NeuroRx, the existing escrow agreement will be amended. Such amendment is described in detail in the Registration Statement on Form S-4, and the preliminary proxy statement/prospectus/consent solicitation statement included therein, filed by the Company with the SEC on January 27, 2021.</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the escrow period, as currently existing, the owners of the shares held in escrow will not be able to sell or transfer such shares except for transfers, assignments or sales (i) to our officers, directors, employees, consultants or their affiliates, (ii) to an entity’s officers, directors, employees or members,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 (vii) by private sales made at or prior to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and other agreements of our initial stockholder as set forth herein,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Similar transfer restrictions will apply if the escrow agreement is amended in connection with the Company’s proposed initial business combination with NeuroRx.</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unable to effect a business combination and liquidate, there will be no liquidation distribution with respect to the insider shares.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 Loans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order to meet working capital needs following the consummation of the Initial Public Offering, the Sponsor,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(subject to any limitation on repayment agreed to in connection with such initial business combination), or, at the holder’s discretion, up to $1,500,000 of the notes may be converted into private units at a price of $10.00 per unit. The units would be identical to the private placement units (which, for example, would result in the holders being issued 165,000 shares of common stock if an aggregate principal amount of $1,500,000 of notes were so converted since the 150,000 rights included in such units would result in the issuance of 15,000 shares upon the closing of our business combination, as well as 75,000 warrants to purchase 75,000 shares). If we do not complete a business combination, the loans will be forgiven.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holder of our founder’s shares issued and outstanding on the date of the Initial Public Offering, as well as the holders of the private placement units and any warrants our Sponsor, officers, directors or their affiliates may be issued in payment of working capital loans made to us (and all underlying securities), are entitled to registration rights pursuant to the Registration Rights Agreement among the Company and our Sponsor. The holders of a majority of these securities are entitled to make up to three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private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Sponsor agreed that, commencing on November 20, 2017 through the earlier of our consummation of our initial business combination or our liquidation, it would make available to us certain general and administrative services, including office space, utilities and administrative support, as we may require from time to time. The Company agreed to pay the Sponsor an aggregate of up to $10,000 per month for these services. For the year ended December 31, 2018, the Company incurred $75,000 in fees for these services. Effective August 20, 2018, the Sponsor agreed to stop charging us the monthly administrative fee.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Promissory Notes – Related Party</w:t>
      </w:r>
    </w:p>
    <w:p>
      <w:pPr>
        <w:spacing w:after="0" w:line="225" w:lineRule="exact"/>
        <w:rPr>
          <w:sz w:val="20"/>
          <w:szCs w:val="20"/>
          <w:color w:val="auto"/>
        </w:rPr>
      </w:pPr>
    </w:p>
    <w:p>
      <w:pPr>
        <w:ind w:right="240" w:firstLine="648"/>
        <w:spacing w:after="0" w:line="314" w:lineRule="auto"/>
        <w:rPr>
          <w:sz w:val="20"/>
          <w:szCs w:val="20"/>
          <w:color w:val="auto"/>
        </w:rPr>
      </w:pPr>
      <w:r>
        <w:rPr>
          <w:rFonts w:ascii="Arial" w:cs="Arial" w:eastAsia="Arial" w:hAnsi="Arial"/>
          <w:sz w:val="15"/>
          <w:szCs w:val="15"/>
          <w:color w:val="auto"/>
        </w:rPr>
        <w:t>On November 17, 2018, the Company entered into an Agreement with the Sponsor and BRAC (“</w:t>
      </w:r>
      <w:r>
        <w:rPr>
          <w:rFonts w:ascii="Arial" w:cs="Arial" w:eastAsia="Arial" w:hAnsi="Arial"/>
          <w:sz w:val="15"/>
          <w:szCs w:val="15"/>
          <w:u w:val="single" w:color="auto"/>
          <w:color w:val="auto"/>
        </w:rPr>
        <w:t>Extension Funding Agreement</w:t>
      </w:r>
      <w:r>
        <w:rPr>
          <w:rFonts w:ascii="Arial" w:cs="Arial" w:eastAsia="Arial" w:hAnsi="Arial"/>
          <w:sz w:val="15"/>
          <w:szCs w:val="15"/>
          <w:color w:val="auto"/>
        </w:rPr>
        <w:t>”). Pursuant to the Agreement, the Sponsor transferred an aggregate of 1,500,000 Founders Shares to BRAC in exchange for the agreements set forth below and aggregate cash consideration of $1.00. Pursuant to the Extension Funding Agreement, the Sponsor agreed to extend the period of time the Company has to consummate a Business Combination up to two times for an aggregate of up to six months and BRAC agreed to loan the Company the funds necessary to obtain the extensions. Pursuant to the Extension Funding Agreement, BRAC has also agreed to loan the Company all funds necessary to pay expenses incurred in connection with and in order to consummate a Business Combination (the “</w:t>
      </w:r>
      <w:r>
        <w:rPr>
          <w:rFonts w:ascii="Arial" w:cs="Arial" w:eastAsia="Arial" w:hAnsi="Arial"/>
          <w:sz w:val="15"/>
          <w:szCs w:val="15"/>
          <w:u w:val="single" w:color="auto"/>
          <w:color w:val="auto"/>
        </w:rPr>
        <w:t>Business Combination Expenses</w:t>
      </w:r>
      <w:r>
        <w:rPr>
          <w:rFonts w:ascii="Arial" w:cs="Arial" w:eastAsia="Arial" w:hAnsi="Arial"/>
          <w:sz w:val="15"/>
          <w:szCs w:val="15"/>
          <w:color w:val="auto"/>
        </w:rPr>
        <w:t>”) and such loans will be added to the notes.</w:t>
      </w:r>
    </w:p>
    <w:p>
      <w:pPr>
        <w:spacing w:after="0" w:line="158" w:lineRule="exact"/>
        <w:rPr>
          <w:sz w:val="20"/>
          <w:szCs w:val="20"/>
          <w:color w:val="auto"/>
        </w:rPr>
      </w:pPr>
    </w:p>
    <w:p>
      <w:pPr>
        <w:jc w:val="both"/>
        <w:ind w:right="180" w:firstLine="648"/>
        <w:spacing w:after="0" w:line="298" w:lineRule="auto"/>
        <w:rPr>
          <w:sz w:val="20"/>
          <w:szCs w:val="20"/>
          <w:color w:val="auto"/>
        </w:rPr>
      </w:pPr>
      <w:r>
        <w:rPr>
          <w:rFonts w:ascii="Arial" w:cs="Arial" w:eastAsia="Arial" w:hAnsi="Arial"/>
          <w:sz w:val="16"/>
          <w:szCs w:val="16"/>
          <w:color w:val="auto"/>
        </w:rPr>
        <w:t>On November 20, 2018, the Company issued an unsecured promissory note (the “</w:t>
      </w:r>
      <w:r>
        <w:rPr>
          <w:rFonts w:ascii="Arial" w:cs="Arial" w:eastAsia="Arial" w:hAnsi="Arial"/>
          <w:sz w:val="16"/>
          <w:szCs w:val="16"/>
          <w:u w:val="single" w:color="auto"/>
          <w:color w:val="auto"/>
        </w:rPr>
        <w:t>First Note</w:t>
      </w:r>
      <w:r>
        <w:rPr>
          <w:rFonts w:ascii="Arial" w:cs="Arial" w:eastAsia="Arial" w:hAnsi="Arial"/>
          <w:sz w:val="16"/>
          <w:szCs w:val="16"/>
          <w:color w:val="auto"/>
        </w:rPr>
        <w:t>”) in favor of BRAC, in the original principal amount of $690,000, to provide us the funds necessary to obtain the first three-month extension, from November 22, 2018 to February 22, 2019. On February 21, 2019, the Company issued a second unsecured promissory note (the “</w:t>
      </w:r>
      <w:r>
        <w:rPr>
          <w:rFonts w:ascii="Arial" w:cs="Arial" w:eastAsia="Arial" w:hAnsi="Arial"/>
          <w:sz w:val="16"/>
          <w:szCs w:val="16"/>
          <w:u w:val="single" w:color="auto"/>
          <w:color w:val="auto"/>
        </w:rPr>
        <w:t>Second Note</w:t>
      </w:r>
      <w:r>
        <w:rPr>
          <w:rFonts w:ascii="Arial" w:cs="Arial" w:eastAsia="Arial" w:hAnsi="Arial"/>
          <w:sz w:val="16"/>
          <w:szCs w:val="16"/>
          <w:color w:val="auto"/>
        </w:rPr>
        <w:t>”) in favor of BRAC, in the original principal amount of $690,000, to provide us the funds necessary to obtain the second three-month extension, from February 22, 2019 to May 22, 2019.</w:t>
      </w:r>
    </w:p>
    <w:p>
      <w:pPr>
        <w:spacing w:after="0" w:line="166" w:lineRule="exact"/>
        <w:rPr>
          <w:sz w:val="20"/>
          <w:szCs w:val="20"/>
          <w:color w:val="auto"/>
        </w:rPr>
      </w:pPr>
    </w:p>
    <w:p>
      <w:pPr>
        <w:jc w:val="both"/>
        <w:ind w:right="180" w:firstLine="648"/>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w:t>
      </w:r>
      <w:r>
        <w:rPr>
          <w:rFonts w:ascii="Arial" w:cs="Arial" w:eastAsia="Arial" w:hAnsi="Arial"/>
          <w:sz w:val="16"/>
          <w:szCs w:val="16"/>
          <w:u w:val="single" w:color="auto"/>
          <w:color w:val="auto"/>
        </w:rPr>
        <w:t>Third Note</w:t>
      </w:r>
      <w:r>
        <w:rPr>
          <w:rFonts w:ascii="Arial" w:cs="Arial" w:eastAsia="Arial" w:hAnsi="Arial"/>
          <w:sz w:val="16"/>
          <w:szCs w:val="16"/>
          <w:color w:val="auto"/>
        </w:rPr>
        <w:t>”) in favor of BRAC in order to pay for part of the third extension payment in the original principal amount of $6,814.</w:t>
      </w:r>
    </w:p>
    <w:p>
      <w:pPr>
        <w:spacing w:after="0" w:line="1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31, 2019, the Company issued an unsecured promissory note, as amended on March 31, 2020, June 30, 2020, and September 30, 2020 (the “</w:t>
      </w:r>
      <w:r>
        <w:rPr>
          <w:rFonts w:ascii="Arial" w:cs="Arial" w:eastAsia="Arial" w:hAnsi="Arial"/>
          <w:sz w:val="18"/>
          <w:szCs w:val="18"/>
          <w:u w:val="single" w:color="auto"/>
          <w:color w:val="auto"/>
        </w:rPr>
        <w:t>Fourth Note</w:t>
      </w:r>
      <w:r>
        <w:rPr>
          <w:rFonts w:ascii="Arial" w:cs="Arial" w:eastAsia="Arial" w:hAnsi="Arial"/>
          <w:sz w:val="18"/>
          <w:szCs w:val="18"/>
          <w:color w:val="auto"/>
        </w:rPr>
        <w:t>” and, together with the First Note, Second Note, and Third Note, the “</w:t>
      </w:r>
      <w:r>
        <w:rPr>
          <w:rFonts w:ascii="Arial" w:cs="Arial" w:eastAsia="Arial" w:hAnsi="Arial"/>
          <w:sz w:val="18"/>
          <w:szCs w:val="18"/>
          <w:u w:val="single" w:color="auto"/>
          <w:color w:val="auto"/>
        </w:rPr>
        <w:t>Extension Notes</w:t>
      </w:r>
      <w:r>
        <w:rPr>
          <w:rFonts w:ascii="Arial" w:cs="Arial" w:eastAsia="Arial" w:hAnsi="Arial"/>
          <w:sz w:val="18"/>
          <w:szCs w:val="18"/>
          <w:color w:val="auto"/>
        </w:rPr>
        <w:t>”) in favor of BRAC in the aggregate principal amount of $317,547 in order to pay for part of the extension payments. Through December 31, 2020, BRAC loaned the Company an aggregate of $423,075, of which $141,299 was loaned during the year ended December 31, 2020 to pay for part of the extension payments through December 23, 2020 and $32,967 was loaned during the year ended December 31, 2020 to pay for extension related costs and $100,000 was loaned during the year ended December 31, 2020 for working capital purposes.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6" w:name="page47"/>
    <w:bookmarkEnd w:id="46"/>
    <w:p>
      <w:pPr>
        <w:ind w:right="20" w:firstLine="648"/>
        <w:spacing w:after="0" w:line="285" w:lineRule="auto"/>
        <w:rPr>
          <w:sz w:val="20"/>
          <w:szCs w:val="20"/>
          <w:color w:val="auto"/>
        </w:rPr>
      </w:pPr>
      <w:r>
        <w:rPr>
          <w:rFonts w:ascii="Arial" w:cs="Arial" w:eastAsia="Arial" w:hAnsi="Arial"/>
          <w:sz w:val="16"/>
          <w:szCs w:val="16"/>
          <w:color w:val="auto"/>
        </w:rPr>
        <w:t>As of December 31, 2020, the outstanding balance under the Extension Notes amounted to an aggregate of $1,809,889 . 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w:t>
      </w:r>
      <w:r>
        <w:rPr>
          <w:rFonts w:ascii="Arial" w:cs="Arial" w:eastAsia="Arial" w:hAnsi="Arial"/>
          <w:sz w:val="16"/>
          <w:szCs w:val="16"/>
          <w:u w:val="single" w:color="auto"/>
          <w:color w:val="auto"/>
        </w:rPr>
        <w:t>Non-Business Combination Related Expenses</w:t>
      </w:r>
      <w:r>
        <w:rPr>
          <w:rFonts w:ascii="Arial" w:cs="Arial" w:eastAsia="Arial" w:hAnsi="Arial"/>
          <w:sz w:val="16"/>
          <w:szCs w:val="16"/>
          <w:color w:val="auto"/>
        </w:rPr>
        <w:t>”). Upon consummation of a Business Combination, up to $200,000 of the Non-Business Combination Related Expenses will be repaid by the Company to the Sponsor provided that the Company has funds available to it sufficient to repay such expenses (the “</w:t>
      </w:r>
      <w:r>
        <w:rPr>
          <w:rFonts w:ascii="Arial" w:cs="Arial" w:eastAsia="Arial" w:hAnsi="Arial"/>
          <w:sz w:val="16"/>
          <w:szCs w:val="16"/>
          <w:u w:val="single" w:color="auto"/>
          <w:color w:val="auto"/>
        </w:rPr>
        <w:t>Cap</w:t>
      </w:r>
      <w:r>
        <w:rPr>
          <w:rFonts w:ascii="Arial" w:cs="Arial" w:eastAsia="Arial" w:hAnsi="Arial"/>
          <w:sz w:val="16"/>
          <w:szCs w:val="16"/>
          <w:color w:val="auto"/>
        </w:rPr>
        <w:t>”) as well as to pay for all stockholder redemptions, all Business Combination Expenses, repayment of the Extension Notes, and any funds necessary for the working capital requirements of NRX Pharmaceuticals following closing of the Business Combination. Any remaining amounts in excess of the Cap will be forgiven. On December 31, 2019, the Company issued an unsecured promissory note to the Sponsor in the original principal amount of $446,283 to pay for Non-Business Combination Related Expenses. Of the amount loaned to the Company, $117,333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A/Z Property loaned the Company an additional $30,143 to pay for part of the extension through December 2019. In January and February 2020, A/Z Property loaned the Company an aggregate additional amount of $60,285 to pay for part of the extension through March 23, 2020.</w:t>
      </w:r>
    </w:p>
    <w:p>
      <w:pPr>
        <w:spacing w:after="0" w:line="194"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 March 2020, in connection with the stockholders’ approval of the Extended Date of July 23, 2020, A/Z Property loaned the Company an additional $11,611 under the Second Note to pay for part of the extension through April 23, 2020.</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A/Z Property has loaned us an aggregate of approximately $862,148 in order to pay our Non-Business Combination Related Expenses and extension payments. As of December 31, 2020, BRAC has loaned us an aggregate of approximately $1,809,889 in order to fund extension payments and other expenses.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proposed business combination with NeuroRx, if such business combination is completed, our Sponsor and lenders agreed to only seek repayment of outstanding working capital loans to the extent the amount remaining amount remaining in the trust account after taking into account conversions by public stockholders, plus any amounts raised in the PIPE or any other financing, exceeds $5 million. The Sponsor and lenders further agreed that amounts not repaid will be converted into two-year convertible promissory notes with a principal amount of no more than approximately $2.7 million, which will bear interest at three percent (3%) per annum. Such arrangements are described in detail in the Registration Statement on Form S-4, and the preliminary proxy statement/prospectus/consent solicitation statement included therein, filed by the Company with the SEC on January 27, 2021.</w:t>
      </w:r>
    </w:p>
    <w:p>
      <w:pPr>
        <w:spacing w:after="0" w:line="174"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w:t>
      </w:r>
    </w:p>
    <w:p>
      <w:pPr>
        <w:spacing w:after="0" w:line="1"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Related Party Policy</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stockholders from a financial point of view.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Messrs. Birdoff, Fong, Koenig, Rex and Taylor are each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independent directors have regularly scheduled meetings at which only independent directors are present.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or to be paid to Marcum LLP (“Marcum”) for services rendered.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 10-K and other required filings with the SEC for the year ended December 31, 2020 and 2019 totaled approximately $52,000 and $49,000, respectively. The above amounts include interim procedures, audit fees, and consent issued for registration statements and comfort letters.</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Audit-Related Fees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Audit-related services consist of fees billed for assurance and related services that are reasonably related to performance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We paid did not pay Marcum for consultations concerning financial accounting and reporting standards for the year ended December 31, 2020 and 2019.</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did not pay Marcum for tax planning and tax advice for the year ended December 31, 2020 and 2019.</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 Other Fees</w:t>
      </w:r>
      <w:r>
        <w:rPr>
          <w:rFonts w:ascii="Arial" w:cs="Arial" w:eastAsia="Arial" w:hAnsi="Arial"/>
          <w:sz w:val="18"/>
          <w:szCs w:val="18"/>
          <w:color w:val="auto"/>
        </w:rPr>
        <w:t>. We did not pay Marcum for other services for the year ended December 31, 2020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Since the formation of our audit committee upon the consummation of our Initial Public Offering,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 The audit committee pre-approved all auditing services provided by Marcum set forth above for 2020 and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6140" w:type="dxa"/>
            <w:vAlign w:val="bottom"/>
          </w:tcPr>
          <w:p>
            <w:pPr>
              <w:ind w:left="160"/>
              <w:spacing w:after="0"/>
              <w:rPr>
                <w:sz w:val="20"/>
                <w:szCs w:val="20"/>
                <w:color w:val="auto"/>
              </w:rPr>
            </w:pPr>
            <w:r>
              <w:rPr>
                <w:rFonts w:ascii="Arial" w:cs="Arial" w:eastAsia="Arial" w:hAnsi="Arial"/>
                <w:sz w:val="18"/>
                <w:szCs w:val="18"/>
                <w:b w:val="1"/>
                <w:bCs w:val="1"/>
                <w:color w:val="auto"/>
              </w:rPr>
              <w:t>PART IV</w:t>
            </w:r>
          </w:p>
        </w:tc>
      </w:tr>
      <w:tr>
        <w:trPr>
          <w:trHeight w:val="648"/>
        </w:trPr>
        <w:tc>
          <w:tcPr>
            <w:tcW w:w="5100" w:type="dxa"/>
            <w:vAlign w:val="bottom"/>
          </w:tcPr>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EXHIBITS, FINANCIAL STATEMENT SCHEDULES</w:t>
            </w:r>
          </w:p>
        </w:tc>
        <w:tc>
          <w:tcPr>
            <w:tcW w:w="6140" w:type="dxa"/>
            <w:vAlign w:val="bottom"/>
          </w:tcPr>
          <w:p>
            <w:pPr>
              <w:spacing w:after="0"/>
              <w:rPr>
                <w:sz w:val="24"/>
                <w:szCs w:val="24"/>
                <w:color w:val="auto"/>
              </w:rPr>
            </w:pPr>
          </w:p>
        </w:tc>
      </w:tr>
      <w:tr>
        <w:trPr>
          <w:trHeight w:val="426"/>
        </w:trPr>
        <w:tc>
          <w:tcPr>
            <w:tcW w:w="5100" w:type="dxa"/>
            <w:vAlign w:val="bottom"/>
          </w:tcPr>
          <w:p>
            <w:pPr>
              <w:spacing w:after="0"/>
              <w:rPr>
                <w:sz w:val="20"/>
                <w:szCs w:val="20"/>
                <w:color w:val="auto"/>
              </w:rPr>
            </w:pPr>
            <w:r>
              <w:rPr>
                <w:rFonts w:ascii="Arial" w:cs="Arial" w:eastAsia="Arial" w:hAnsi="Arial"/>
                <w:sz w:val="18"/>
                <w:szCs w:val="18"/>
                <w:color w:val="auto"/>
              </w:rPr>
              <w:t>(a)</w:t>
            </w:r>
          </w:p>
        </w:tc>
        <w:tc>
          <w:tcPr>
            <w:tcW w:w="6140" w:type="dxa"/>
            <w:vAlign w:val="bottom"/>
          </w:tcPr>
          <w:p>
            <w:pPr>
              <w:spacing w:after="0"/>
              <w:rPr>
                <w:sz w:val="24"/>
                <w:szCs w:val="24"/>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The following documents are filed as part of this Form 10-K:</w:t>
            </w:r>
          </w:p>
        </w:tc>
        <w:tc>
          <w:tcPr>
            <w:tcW w:w="6140" w:type="dxa"/>
            <w:vAlign w:val="bottom"/>
          </w:tcPr>
          <w:p>
            <w:pPr>
              <w:spacing w:after="0"/>
              <w:rPr>
                <w:sz w:val="19"/>
                <w:szCs w:val="19"/>
                <w:color w:val="auto"/>
              </w:rPr>
            </w:pPr>
          </w:p>
        </w:tc>
      </w:tr>
      <w:tr>
        <w:trPr>
          <w:trHeight w:val="426"/>
        </w:trPr>
        <w:tc>
          <w:tcPr>
            <w:tcW w:w="5100" w:type="dxa"/>
            <w:vAlign w:val="bottom"/>
          </w:tcPr>
          <w:p>
            <w:pPr>
              <w:spacing w:after="0"/>
              <w:rPr>
                <w:sz w:val="20"/>
                <w:szCs w:val="20"/>
                <w:color w:val="auto"/>
              </w:rPr>
            </w:pPr>
            <w:r>
              <w:rPr>
                <w:rFonts w:ascii="Arial" w:cs="Arial" w:eastAsia="Arial" w:hAnsi="Arial"/>
                <w:sz w:val="18"/>
                <w:szCs w:val="18"/>
                <w:color w:val="auto"/>
              </w:rPr>
              <w:t>(1)</w:t>
            </w:r>
          </w:p>
        </w:tc>
        <w:tc>
          <w:tcPr>
            <w:tcW w:w="6140" w:type="dxa"/>
            <w:vAlign w:val="bottom"/>
          </w:tcPr>
          <w:p>
            <w:pPr>
              <w:spacing w:after="0"/>
              <w:rPr>
                <w:sz w:val="24"/>
                <w:szCs w:val="24"/>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Financial Statements:</w:t>
            </w:r>
          </w:p>
        </w:tc>
        <w:tc>
          <w:tcPr>
            <w:tcW w:w="6140" w:type="dxa"/>
            <w:vAlign w:val="bottom"/>
          </w:tcPr>
          <w:p>
            <w:pPr>
              <w:spacing w:after="0"/>
              <w:rPr>
                <w:sz w:val="19"/>
                <w:szCs w:val="19"/>
                <w:color w:val="auto"/>
              </w:rPr>
            </w:pPr>
          </w:p>
        </w:tc>
      </w:tr>
      <w:tr>
        <w:trPr>
          <w:trHeight w:val="218"/>
        </w:trPr>
        <w:tc>
          <w:tcPr>
            <w:tcW w:w="51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140" w:type="dxa"/>
            <w:vAlign w:val="bottom"/>
            <w:shd w:val="clear" w:color="auto" w:fill="CCEEFF"/>
          </w:tcPr>
          <w:p>
            <w:pPr>
              <w:jc w:val="center"/>
              <w:ind w:left="4712"/>
              <w:spacing w:after="0"/>
              <w:rPr>
                <w:sz w:val="20"/>
                <w:szCs w:val="20"/>
                <w:color w:val="auto"/>
              </w:rPr>
            </w:pPr>
            <w:r>
              <w:rPr>
                <w:rFonts w:ascii="Arial" w:cs="Arial" w:eastAsia="Arial" w:hAnsi="Arial"/>
                <w:sz w:val="18"/>
                <w:szCs w:val="18"/>
                <w:color w:val="auto"/>
                <w:w w:val="96"/>
              </w:rPr>
              <w:t>F-2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Financial Statements:</w:t>
            </w:r>
          </w:p>
        </w:tc>
        <w:tc>
          <w:tcPr>
            <w:tcW w:w="614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w:t>
            </w:r>
          </w:p>
        </w:tc>
        <w:tc>
          <w:tcPr>
            <w:tcW w:w="6140" w:type="dxa"/>
            <w:vAlign w:val="bottom"/>
            <w:shd w:val="clear" w:color="auto" w:fill="CCEEFF"/>
          </w:tcPr>
          <w:p>
            <w:pPr>
              <w:jc w:val="center"/>
              <w:ind w:left="4712"/>
              <w:spacing w:after="0"/>
              <w:rPr>
                <w:sz w:val="20"/>
                <w:szCs w:val="20"/>
                <w:color w:val="auto"/>
              </w:rPr>
            </w:pPr>
            <w:r>
              <w:rPr>
                <w:rFonts w:ascii="Arial" w:cs="Arial" w:eastAsia="Arial" w:hAnsi="Arial"/>
                <w:sz w:val="18"/>
                <w:szCs w:val="18"/>
                <w:color w:val="auto"/>
                <w:w w:val="96"/>
              </w:rPr>
              <w:t>F-3</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Consolidated Statements of Operations</w:t>
            </w:r>
          </w:p>
        </w:tc>
        <w:tc>
          <w:tcPr>
            <w:tcW w:w="6140" w:type="dxa"/>
            <w:vAlign w:val="bottom"/>
          </w:tcPr>
          <w:p>
            <w:pPr>
              <w:jc w:val="center"/>
              <w:ind w:left="4712"/>
              <w:spacing w:after="0"/>
              <w:rPr>
                <w:sz w:val="20"/>
                <w:szCs w:val="20"/>
                <w:color w:val="auto"/>
              </w:rPr>
            </w:pPr>
            <w:r>
              <w:rPr>
                <w:rFonts w:ascii="Arial" w:cs="Arial" w:eastAsia="Arial" w:hAnsi="Arial"/>
                <w:sz w:val="18"/>
                <w:szCs w:val="18"/>
                <w:color w:val="auto"/>
                <w:w w:val="96"/>
              </w:rPr>
              <w:t>F-4</w:t>
            </w: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Changes in Stockholders’ Equity</w:t>
            </w:r>
          </w:p>
        </w:tc>
        <w:tc>
          <w:tcPr>
            <w:tcW w:w="6140" w:type="dxa"/>
            <w:vAlign w:val="bottom"/>
            <w:shd w:val="clear" w:color="auto" w:fill="CCEEFF"/>
          </w:tcPr>
          <w:p>
            <w:pPr>
              <w:jc w:val="center"/>
              <w:ind w:left="4712"/>
              <w:spacing w:after="0"/>
              <w:rPr>
                <w:sz w:val="20"/>
                <w:szCs w:val="20"/>
                <w:color w:val="auto"/>
              </w:rPr>
            </w:pPr>
            <w:r>
              <w:rPr>
                <w:rFonts w:ascii="Arial" w:cs="Arial" w:eastAsia="Arial" w:hAnsi="Arial"/>
                <w:sz w:val="18"/>
                <w:szCs w:val="18"/>
                <w:color w:val="auto"/>
                <w:w w:val="96"/>
              </w:rPr>
              <w:t>F-5</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Consolidated Statements of Cash Flows</w:t>
            </w:r>
          </w:p>
        </w:tc>
        <w:tc>
          <w:tcPr>
            <w:tcW w:w="6140" w:type="dxa"/>
            <w:vAlign w:val="bottom"/>
          </w:tcPr>
          <w:p>
            <w:pPr>
              <w:jc w:val="center"/>
              <w:ind w:left="4712"/>
              <w:spacing w:after="0"/>
              <w:rPr>
                <w:sz w:val="20"/>
                <w:szCs w:val="20"/>
                <w:color w:val="auto"/>
              </w:rPr>
            </w:pPr>
            <w:r>
              <w:rPr>
                <w:rFonts w:ascii="Arial" w:cs="Arial" w:eastAsia="Arial" w:hAnsi="Arial"/>
                <w:sz w:val="18"/>
                <w:szCs w:val="18"/>
                <w:color w:val="auto"/>
                <w:w w:val="96"/>
              </w:rPr>
              <w:t>F-6</w:t>
            </w: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6140" w:type="dxa"/>
            <w:vAlign w:val="bottom"/>
            <w:shd w:val="clear" w:color="auto" w:fill="CCEEFF"/>
          </w:tcPr>
          <w:p>
            <w:pPr>
              <w:jc w:val="center"/>
              <w:ind w:left="4732"/>
              <w:spacing w:after="0"/>
              <w:rPr>
                <w:sz w:val="20"/>
                <w:szCs w:val="20"/>
                <w:color w:val="auto"/>
              </w:rPr>
            </w:pPr>
            <w:r>
              <w:rPr>
                <w:rFonts w:ascii="Arial" w:cs="Arial" w:eastAsia="Arial" w:hAnsi="Arial"/>
                <w:sz w:val="18"/>
                <w:szCs w:val="18"/>
                <w:color w:val="auto"/>
                <w:w w:val="89"/>
              </w:rPr>
              <w:t>F-7 to F-15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Agreement and Plan of Merger, dated as of December 13, 2020, by and among Big Rock Partners Acquisition Corp., NeuroRx, Inc., and</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Big Rock Merger Corp. (incorporated by reference to Exhibit 2.1 to the Company’s Form 8-K, filed on December 17, 2020).</w:t>
            </w:r>
          </w:p>
        </w:tc>
      </w:tr>
      <w:tr>
        <w:trPr>
          <w:trHeight w:val="175"/>
        </w:trPr>
        <w:tc>
          <w:tcPr>
            <w:tcW w:w="500" w:type="dxa"/>
            <w:vAlign w:val="bottom"/>
            <w:gridSpan w:val="3"/>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2"/>
              </w:rPr>
              <w:t>First Amendment to Agreement and Plan of Merger, dated as of January 27, 2021, by and among Big Rock Partners Acquisition Corp.,</w:t>
            </w:r>
          </w:p>
        </w:tc>
      </w:tr>
      <w:tr>
        <w:trPr>
          <w:trHeight w:val="236"/>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NeuroRx, Inc., and Big Rock Merger Corp.</w:t>
            </w:r>
          </w:p>
        </w:tc>
      </w:tr>
      <w:tr>
        <w:trPr>
          <w:trHeight w:val="177"/>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Second Amendment to Agreement and Plan of Merger, dated as of January 27, 2021, by and among Big Rock Partners Acquisition Corp.,</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NeuroRx, Inc., and Big Rock Merger Corp. (incorporated by reference to Exhibit 2.1 to the Company’s Form 8-K, filed on March 22, 2021).</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6"/>
              </w:rPr>
              <w:t>Amended and Restated Certificate of Incorporation (incorporated by reference to Exhibit 3.1 to the Company’s Form 8-K, filed on</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November 22, 2017).</w:t>
            </w:r>
          </w:p>
        </w:tc>
      </w:tr>
      <w:tr>
        <w:trPr>
          <w:trHeight w:val="177"/>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6"/>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filed on May 22, 2019).</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6"/>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filed on August 23, 2019).</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filed on November 22, 2019).</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filed on March 23, 2020).</w:t>
            </w:r>
          </w:p>
        </w:tc>
      </w:tr>
      <w:tr>
        <w:trPr>
          <w:trHeight w:val="177"/>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filed on July 23, 2020).</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1"/>
              </w:rPr>
              <w:t>Amendment to Amended and Restated Certificate of Incorporation (incorporated by reference to Exhibit 3.1 to the Company’s Form 8-K,</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filed on December 18, 2020).</w:t>
            </w:r>
          </w:p>
        </w:tc>
      </w:tr>
      <w:tr>
        <w:trPr>
          <w:trHeight w:val="177"/>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Amended and Restated Bylaws (incorporated by reference to Exhibit 3.2 to the Company’s Form 8-K, filed on November 22, 2017).</w:t>
            </w:r>
          </w:p>
        </w:tc>
      </w:tr>
      <w:tr>
        <w:trPr>
          <w:trHeight w:val="20"/>
        </w:trPr>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89"/>
              </w:rPr>
              <w:t>Specimen Unit Certificate (incorporated by reference to Exhibit 4.1 to the Company’s Form S-1/A, File No. 333 220947, filed on November</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14, 2017).</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Specimen Common Stock Certificate (incorporated by reference to Exhibit 4.2 to the Company’s Form S-1/A, File No. 333-220947, filed on</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14, 2017).</w:t>
            </w:r>
          </w:p>
        </w:tc>
      </w:tr>
      <w:tr>
        <w:trPr>
          <w:trHeight w:val="175"/>
        </w:trPr>
        <w:tc>
          <w:tcPr>
            <w:tcW w:w="320" w:type="dxa"/>
            <w:vAlign w:val="bottom"/>
            <w:gridSpan w:val="2"/>
          </w:tcPr>
          <w:p>
            <w:pPr>
              <w:spacing w:after="0" w:line="176" w:lineRule="exact"/>
              <w:rPr>
                <w:rFonts w:ascii="Arial" w:cs="Arial" w:eastAsia="Arial" w:hAnsi="Arial"/>
                <w:sz w:val="18"/>
                <w:szCs w:val="18"/>
                <w:color w:val="0000FF"/>
              </w:rPr>
            </w:pPr>
            <w:hyperlink r:id="rId70">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6"/>
              </w:rPr>
              <w:t>Specimen Right Certificate (incorporated by reference to Exhibit 4.3 to the Company’s Form S-1/A, File No. 333 220947, filed on</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November 14, 2017).</w:t>
            </w:r>
          </w:p>
        </w:tc>
      </w:tr>
      <w:tr>
        <w:trPr>
          <w:trHeight w:val="177"/>
        </w:trPr>
        <w:tc>
          <w:tcPr>
            <w:tcW w:w="320" w:type="dxa"/>
            <w:vAlign w:val="bottom"/>
            <w:gridSpan w:val="2"/>
            <w:shd w:val="clear" w:color="auto" w:fill="CCEEFF"/>
          </w:tcPr>
          <w:p>
            <w:pPr>
              <w:spacing w:after="0" w:line="176" w:lineRule="exact"/>
              <w:rPr>
                <w:rFonts w:ascii="Arial" w:cs="Arial" w:eastAsia="Arial" w:hAnsi="Arial"/>
                <w:sz w:val="18"/>
                <w:szCs w:val="18"/>
                <w:color w:val="0000FF"/>
              </w:rPr>
            </w:pPr>
            <w:hyperlink r:id="rId71">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Specimen Warrant Certificate (incorporated by reference to Exhibit 4.4 to the Company’s Form S-1/A, File No. 333 220947, filed on</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14, 2017).</w:t>
            </w:r>
          </w:p>
        </w:tc>
      </w:tr>
      <w:tr>
        <w:trPr>
          <w:trHeight w:val="176"/>
        </w:trPr>
        <w:tc>
          <w:tcPr>
            <w:tcW w:w="320" w:type="dxa"/>
            <w:vAlign w:val="bottom"/>
            <w:gridSpan w:val="2"/>
          </w:tcPr>
          <w:p>
            <w:pPr>
              <w:spacing w:after="0" w:line="176" w:lineRule="exact"/>
              <w:rPr>
                <w:rFonts w:ascii="Arial" w:cs="Arial" w:eastAsia="Arial" w:hAnsi="Arial"/>
                <w:sz w:val="18"/>
                <w:szCs w:val="18"/>
                <w:color w:val="0000FF"/>
              </w:rPr>
            </w:pPr>
            <w:hyperlink r:id="rId72">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1"/>
              </w:rPr>
              <w:t>Right Agreement, dated November 20, 2017, between the Company and Continental Stock Transfer &amp; Trust Company (incorporated by</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reference to Exhibit 4.1 to the Company’s Form 8-K, File No. 001-38302, filed on November 22, 2017).</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FF"/>
              </w:rPr>
            </w:pPr>
            <w:hyperlink r:id="rId73">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Warrant Agreement, dated November 20, 2017, between Continental Stock Transfer &amp; Trust Company and the Company (incorporated by</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4.2 to the Company’s Form 8-K, filed on November 22, 2017).</w:t>
            </w:r>
          </w:p>
        </w:tc>
      </w:tr>
      <w:tr>
        <w:trPr>
          <w:trHeight w:val="175"/>
        </w:trPr>
        <w:tc>
          <w:tcPr>
            <w:tcW w:w="320" w:type="dxa"/>
            <w:vAlign w:val="bottom"/>
            <w:gridSpan w:val="2"/>
          </w:tcPr>
          <w:p>
            <w:pPr>
              <w:spacing w:after="0" w:line="176" w:lineRule="exact"/>
              <w:rPr>
                <w:rFonts w:ascii="Arial" w:cs="Arial" w:eastAsia="Arial" w:hAnsi="Arial"/>
                <w:sz w:val="18"/>
                <w:szCs w:val="18"/>
                <w:color w:val="0000FF"/>
              </w:rPr>
            </w:pPr>
            <w:hyperlink r:id="rId74">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3"/>
              </w:rPr>
              <w:t>Form of Unit Purchase Option, dated November 20, 2017, with EarlyBirdCapital, Inc. and its designees (incorporated by reference to</w:t>
            </w:r>
          </w:p>
        </w:tc>
      </w:tr>
      <w:tr>
        <w:trPr>
          <w:trHeight w:val="236"/>
        </w:trPr>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Exhibit 4.3 to the Company’s Form 8-K, filed on November 22, 2017).</w:t>
            </w:r>
          </w:p>
        </w:tc>
      </w:tr>
      <w:tr>
        <w:trPr>
          <w:trHeight w:val="197"/>
        </w:trPr>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4.</w:t>
              </w:r>
              <w:r>
                <w:rPr>
                  <w:rFonts w:ascii="Arial" w:cs="Arial" w:eastAsia="Arial" w:hAnsi="Arial"/>
                  <w:sz w:val="18"/>
                  <w:szCs w:val="18"/>
                  <w:u w:val="single" w:color="auto"/>
                  <w:color w:val="0000EE"/>
                  <w:w w:val="93"/>
                </w:rPr>
                <w:t>8*</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Description of Registrant's Securities.</w:t>
            </w:r>
          </w:p>
        </w:tc>
      </w:tr>
      <w:tr>
        <w:trPr>
          <w:trHeight w:val="175"/>
        </w:trPr>
        <w:tc>
          <w:tcPr>
            <w:tcW w:w="1240" w:type="dxa"/>
            <w:vAlign w:val="bottom"/>
            <w:gridSpan w:val="5"/>
          </w:tcPr>
          <w:p>
            <w:pPr>
              <w:spacing w:after="0" w:line="176" w:lineRule="exact"/>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1(a)</w:t>
              </w:r>
            </w:hyperlink>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87"/>
              </w:rPr>
              <w:t>Letter Agreement, dated November 20, 2017, by and between the Company and Big Rock Partners Sponsor, LLC (incorporated by reference</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to Exhibit 10.4 to the Company’s Form 8-K, filed on November 22, 2017).</w:t>
            </w:r>
          </w:p>
        </w:tc>
      </w:tr>
      <w:tr>
        <w:trPr>
          <w:trHeight w:val="177"/>
        </w:trPr>
        <w:tc>
          <w:tcPr>
            <w:tcW w:w="1240" w:type="dxa"/>
            <w:vAlign w:val="bottom"/>
            <w:gridSpan w:val="5"/>
            <w:shd w:val="clear" w:color="auto" w:fill="CCEEFF"/>
          </w:tcPr>
          <w:p>
            <w:pPr>
              <w:spacing w:after="0" w:line="176" w:lineRule="exact"/>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1(b)</w:t>
              </w:r>
            </w:hyperlink>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Form of Letter, dated November 20, 2017, Agreement by and between the Company and its officers and directors. (incorporated by</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10.6 to the Company’s Form 8-K, filed on November 22, 2017).</w:t>
            </w:r>
          </w:p>
        </w:tc>
      </w:tr>
      <w:tr>
        <w:trPr>
          <w:trHeight w:val="176"/>
        </w:trPr>
        <w:tc>
          <w:tcPr>
            <w:tcW w:w="1240" w:type="dxa"/>
            <w:vAlign w:val="bottom"/>
            <w:gridSpan w:val="5"/>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10.</w:t>
              </w:r>
              <w:r>
                <w:rPr>
                  <w:rFonts w:ascii="Arial" w:cs="Arial" w:eastAsia="Arial" w:hAnsi="Arial"/>
                  <w:sz w:val="18"/>
                  <w:szCs w:val="18"/>
                  <w:u w:val="single" w:color="auto"/>
                  <w:color w:val="0000EE"/>
                </w:rPr>
                <w:t>1(c)</w:t>
              </w:r>
            </w:hyperlink>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89"/>
              </w:rPr>
              <w:t>Letter Agreement, dated November 20, 2017, by and between the Company and A/Z Property Partners, LLC (incorporated by reference to</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Exhibit 10.5 to the Company’s Form 8-K, filed on November 22, 2017).</w:t>
            </w:r>
          </w:p>
        </w:tc>
      </w:tr>
      <w:tr>
        <w:trPr>
          <w:trHeight w:val="17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Investment Management Trust Account Agreement, dated November 20, 2017, between Continental Stock Transfer &amp; Trust Company and</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 (incorporated by reference to Exhibit 10.1 to the Company’s Form 8-K, filed on November 22, 2017).</w:t>
            </w:r>
          </w:p>
        </w:tc>
      </w:tr>
      <w:tr>
        <w:trPr>
          <w:trHeight w:val="175"/>
        </w:trPr>
        <w:tc>
          <w:tcPr>
            <w:tcW w:w="500" w:type="dxa"/>
            <w:vAlign w:val="bottom"/>
            <w:gridSpan w:val="3"/>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2"/>
              </w:rPr>
              <w:t>Stock Escrow Agreement, dated November 20, 2017, between the Company, Big Rock Partners Sponsor, LLC and Continental Stock</w:t>
            </w:r>
          </w:p>
        </w:tc>
      </w:tr>
      <w:tr>
        <w:trPr>
          <w:trHeight w:val="235"/>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7"/>
              </w:rPr>
              <w:t>Transfer &amp; Trust Company (incorporated by reference to Exhibit 10.2 to the Company’s Form 8-K, filed on November 22, 2017).</w:t>
            </w:r>
          </w:p>
        </w:tc>
      </w:tr>
      <w:tr>
        <w:trPr>
          <w:trHeight w:val="177"/>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Registration Rights Agreement among the Company and Big Rock Partners Sponsor, LLC (incorporated by reference to Exhibit 10.3 to the</w:t>
            </w:r>
          </w:p>
        </w:tc>
      </w:tr>
      <w:tr>
        <w:trPr>
          <w:trHeight w:val="236"/>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Company’s Form 8-K, filed on November 22, 2017).</w:t>
            </w:r>
          </w:p>
        </w:tc>
      </w:tr>
      <w:tr>
        <w:trPr>
          <w:trHeight w:val="175"/>
        </w:trPr>
        <w:tc>
          <w:tcPr>
            <w:tcW w:w="500" w:type="dxa"/>
            <w:vAlign w:val="bottom"/>
            <w:gridSpan w:val="3"/>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89"/>
              </w:rPr>
              <w:t>Administrative Services Agreement, dated November 20, 2017, between the Company and Big Rock Partners Sponsor, LLC (incorporated</w:t>
            </w:r>
          </w:p>
        </w:tc>
      </w:tr>
      <w:tr>
        <w:trPr>
          <w:trHeight w:val="236"/>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by reference to Exhibit 10.7 to the Company’s Form 8-K, filed on November 22, 2017).</w:t>
            </w:r>
          </w:p>
        </w:tc>
      </w:tr>
      <w:tr>
        <w:trPr>
          <w:trHeight w:val="176"/>
        </w:trPr>
        <w:tc>
          <w:tcPr>
            <w:tcW w:w="1240" w:type="dxa"/>
            <w:vAlign w:val="bottom"/>
            <w:gridSpan w:val="5"/>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10.</w:t>
              </w:r>
              <w:r>
                <w:rPr>
                  <w:rFonts w:ascii="Arial" w:cs="Arial" w:eastAsia="Arial" w:hAnsi="Arial"/>
                  <w:sz w:val="18"/>
                  <w:szCs w:val="18"/>
                  <w:u w:val="single" w:color="auto"/>
                  <w:color w:val="0000EE"/>
                </w:rPr>
                <w:t>6(a)</w:t>
              </w:r>
            </w:hyperlink>
          </w:p>
        </w:tc>
        <w:tc>
          <w:tcPr>
            <w:tcW w:w="1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Securities Subscription Agreement, dated September 26, 2017, between the Registrant and Big Rock Partners Sponsor, LLC (incorporated</w:t>
            </w: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by reference to Exhibit 10.6 to the Company’s Form S-1/A, File No. 333-220947, filed on November 14, 2017).</w:t>
            </w:r>
          </w:p>
        </w:tc>
      </w:tr>
      <w:tr>
        <w:trPr>
          <w:trHeight w:val="620"/>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right"/>
              <w:ind w:right="5432"/>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40"/>
          </w:cols>
          <w:pgMar w:left="320" w:top="509"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5"/>
            <w:shd w:val="clear" w:color="auto" w:fill="CCEEFF"/>
          </w:tcPr>
          <w:p>
            <w:pPr>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6(b)</w:t>
              </w:r>
            </w:hyperlink>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Securities Subscription Agreement, dated November 20, 2017, between the Company and Big Rock Partners Sponsor, LLC (incorporated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reference to Exhibit 10.9 to the Company’s Form 8-K, filed on November 22,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0" w:type="dxa"/>
            <w:vAlign w:val="bottom"/>
            <w:gridSpan w:val="2"/>
          </w:tcPr>
          <w:p>
            <w:pPr>
              <w:spacing w:after="0" w:line="176" w:lineRule="exact"/>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5"/>
              </w:rPr>
              <w:t>Promissory Note, dated as of September 26, 2017, in favor of Richard Ackerman (incorporated by reference to Exhibit 10.7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40" w:type="dxa"/>
            <w:vAlign w:val="bottom"/>
            <w:gridSpan w:val="2"/>
          </w:tcPr>
          <w:p>
            <w:pPr>
              <w:ind w:left="340"/>
              <w:spacing w:after="0"/>
              <w:rPr>
                <w:sz w:val="20"/>
                <w:szCs w:val="20"/>
                <w:color w:val="auto"/>
              </w:rPr>
            </w:pPr>
            <w:r>
              <w:rPr>
                <w:rFonts w:ascii="Arial" w:cs="Arial" w:eastAsia="Arial" w:hAnsi="Arial"/>
                <w:sz w:val="18"/>
                <w:szCs w:val="18"/>
                <w:color w:val="auto"/>
              </w:rPr>
              <w:t>Company’s Form S-1/A, File No. 333-220947, filed on November 14, 2017).</w:t>
            </w:r>
          </w:p>
        </w:tc>
        <w:tc>
          <w:tcPr>
            <w:tcW w:w="0" w:type="dxa"/>
            <w:vAlign w:val="bottom"/>
          </w:tcPr>
          <w:p>
            <w:pPr>
              <w:spacing w:after="0"/>
              <w:rPr>
                <w:sz w:val="1"/>
                <w:szCs w:val="1"/>
                <w:color w:val="auto"/>
              </w:rPr>
            </w:pPr>
          </w:p>
        </w:tc>
      </w:tr>
      <w:tr>
        <w:trPr>
          <w:trHeight w:val="178"/>
        </w:trPr>
        <w:tc>
          <w:tcPr>
            <w:tcW w:w="400" w:type="dxa"/>
            <w:vAlign w:val="bottom"/>
            <w:gridSpan w:val="2"/>
            <w:shd w:val="clear" w:color="auto" w:fill="CCEEFF"/>
          </w:tcPr>
          <w:p>
            <w:pPr>
              <w:spacing w:after="0" w:line="177" w:lineRule="exact"/>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20" w:type="dxa"/>
            <w:vAlign w:val="bottom"/>
            <w:shd w:val="clear" w:color="auto" w:fill="CCEEFF"/>
          </w:tcPr>
          <w:p>
            <w:pPr>
              <w:ind w:left="340"/>
              <w:spacing w:after="0" w:line="177" w:lineRule="exact"/>
              <w:rPr>
                <w:sz w:val="20"/>
                <w:szCs w:val="20"/>
                <w:color w:val="auto"/>
              </w:rPr>
            </w:pPr>
            <w:r>
              <w:rPr>
                <w:rFonts w:ascii="Arial" w:cs="Arial" w:eastAsia="Arial" w:hAnsi="Arial"/>
                <w:sz w:val="18"/>
                <w:szCs w:val="18"/>
                <w:color w:val="auto"/>
                <w:w w:val="88"/>
              </w:rPr>
              <w:t>Promissory Note, dated as of September 26, 2017, in favor of Big Rock Partners Sponsor, LLC (incorporated by reference to Exhibit 10.8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the Company’s Form S-1/A, File No. 333-220947, filed on November 14,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0" w:type="dxa"/>
            <w:vAlign w:val="bottom"/>
            <w:gridSpan w:val="2"/>
          </w:tcPr>
          <w:p>
            <w:pPr>
              <w:spacing w:after="0" w:line="176" w:lineRule="exact"/>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1"/>
              </w:rPr>
              <w:t>Form of Indemnification Agreement, dated November 20, 2017, with the Company’s officers and directors (incorporated by reference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40" w:type="dxa"/>
            <w:vAlign w:val="bottom"/>
            <w:gridSpan w:val="2"/>
          </w:tcPr>
          <w:p>
            <w:pPr>
              <w:ind w:left="340"/>
              <w:spacing w:after="0"/>
              <w:rPr>
                <w:sz w:val="20"/>
                <w:szCs w:val="20"/>
                <w:color w:val="auto"/>
              </w:rPr>
            </w:pPr>
            <w:r>
              <w:rPr>
                <w:rFonts w:ascii="Arial" w:cs="Arial" w:eastAsia="Arial" w:hAnsi="Arial"/>
                <w:sz w:val="18"/>
                <w:szCs w:val="18"/>
                <w:color w:val="auto"/>
              </w:rPr>
              <w:t>Exhibit 10.8 to the Company’s Form 8-K, filed on November 22, 2017).</w:t>
            </w:r>
          </w:p>
        </w:tc>
        <w:tc>
          <w:tcPr>
            <w:tcW w:w="0" w:type="dxa"/>
            <w:vAlign w:val="bottom"/>
          </w:tcPr>
          <w:p>
            <w:pPr>
              <w:spacing w:after="0"/>
              <w:rPr>
                <w:sz w:val="1"/>
                <w:szCs w:val="1"/>
                <w:color w:val="auto"/>
              </w:rPr>
            </w:pPr>
          </w:p>
        </w:tc>
      </w:tr>
      <w:tr>
        <w:trPr>
          <w:trHeight w:val="178"/>
        </w:trPr>
        <w:tc>
          <w:tcPr>
            <w:tcW w:w="400" w:type="dxa"/>
            <w:vAlign w:val="bottom"/>
            <w:tcBorders>
              <w:bottom w:val="single" w:sz="8" w:color="0000FF"/>
            </w:tcBorders>
            <w:gridSpan w:val="2"/>
            <w:shd w:val="clear" w:color="auto" w:fill="CCEEFF"/>
          </w:tcPr>
          <w:p>
            <w:pPr>
              <w:spacing w:after="0" w:line="177" w:lineRule="exact"/>
              <w:rPr>
                <w:rFonts w:ascii="Arial" w:cs="Arial" w:eastAsia="Arial" w:hAnsi="Arial"/>
                <w:sz w:val="18"/>
                <w:szCs w:val="18"/>
                <w:color w:val="0000FF"/>
                <w:w w:val="84"/>
              </w:rPr>
            </w:pPr>
            <w:hyperlink r:id="rId8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340"/>
              <w:spacing w:after="0" w:line="177" w:lineRule="exact"/>
              <w:rPr>
                <w:sz w:val="20"/>
                <w:szCs w:val="20"/>
                <w:color w:val="auto"/>
              </w:rPr>
            </w:pPr>
            <w:r>
              <w:rPr>
                <w:rFonts w:ascii="Arial" w:cs="Arial" w:eastAsia="Arial" w:hAnsi="Arial"/>
                <w:sz w:val="18"/>
                <w:szCs w:val="18"/>
                <w:color w:val="auto"/>
                <w:w w:val="98"/>
              </w:rPr>
              <w:t>Agreement, dated November 17, 2018, among the Company, Big Rock Partners Sponsor, LLC and BRAC Lending Group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November 20,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 w:type="dxa"/>
            <w:vAlign w:val="bottom"/>
            <w:tcBorders>
              <w:bottom w:val="single" w:sz="8" w:color="0000FF"/>
            </w:tcBorders>
            <w:gridSpan w:val="2"/>
          </w:tcPr>
          <w:p>
            <w:pPr>
              <w:spacing w:after="0" w:line="176" w:lineRule="exact"/>
              <w:rPr>
                <w:rFonts w:ascii="Arial" w:cs="Arial" w:eastAsia="Arial" w:hAnsi="Arial"/>
                <w:sz w:val="18"/>
                <w:szCs w:val="18"/>
                <w:color w:val="0000FF"/>
                <w:w w:val="84"/>
              </w:rPr>
            </w:pPr>
            <w:hyperlink r:id="rId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3"/>
              </w:rPr>
              <w:t>Stock Escrow Agent Letter, dated November 17, 2018 (incorporated by reference to Exhibit 10.2 to the Company’s Form 8-K,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40" w:type="dxa"/>
            <w:vAlign w:val="bottom"/>
            <w:gridSpan w:val="2"/>
          </w:tcPr>
          <w:p>
            <w:pPr>
              <w:ind w:left="340"/>
              <w:spacing w:after="0"/>
              <w:rPr>
                <w:sz w:val="20"/>
                <w:szCs w:val="20"/>
                <w:color w:val="auto"/>
              </w:rPr>
            </w:pPr>
            <w:r>
              <w:rPr>
                <w:rFonts w:ascii="Arial" w:cs="Arial" w:eastAsia="Arial" w:hAnsi="Arial"/>
                <w:sz w:val="18"/>
                <w:szCs w:val="18"/>
                <w:color w:val="auto"/>
              </w:rPr>
              <w:t>November 20, 2018).</w:t>
            </w:r>
          </w:p>
        </w:tc>
        <w:tc>
          <w:tcPr>
            <w:tcW w:w="0" w:type="dxa"/>
            <w:vAlign w:val="bottom"/>
          </w:tcPr>
          <w:p>
            <w:pPr>
              <w:spacing w:after="0"/>
              <w:rPr>
                <w:sz w:val="1"/>
                <w:szCs w:val="1"/>
                <w:color w:val="auto"/>
              </w:rPr>
            </w:pPr>
          </w:p>
        </w:tc>
      </w:tr>
      <w:tr>
        <w:trPr>
          <w:trHeight w:val="178"/>
        </w:trPr>
        <w:tc>
          <w:tcPr>
            <w:tcW w:w="400" w:type="dxa"/>
            <w:vAlign w:val="bottom"/>
            <w:tcBorders>
              <w:bottom w:val="single" w:sz="8" w:color="0000FF"/>
            </w:tcBorders>
            <w:gridSpan w:val="2"/>
            <w:shd w:val="clear" w:color="auto" w:fill="CCEEFF"/>
          </w:tcPr>
          <w:p>
            <w:pPr>
              <w:spacing w:after="0" w:line="177" w:lineRule="exact"/>
              <w:rPr>
                <w:rFonts w:ascii="Arial" w:cs="Arial" w:eastAsia="Arial" w:hAnsi="Arial"/>
                <w:sz w:val="18"/>
                <w:szCs w:val="18"/>
                <w:color w:val="0000FF"/>
                <w:w w:val="84"/>
              </w:rPr>
            </w:pPr>
            <w:hyperlink r:id="rId8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340"/>
              <w:spacing w:after="0" w:line="177" w:lineRule="exact"/>
              <w:rPr>
                <w:sz w:val="20"/>
                <w:szCs w:val="20"/>
                <w:color w:val="auto"/>
              </w:rPr>
            </w:pPr>
            <w:r>
              <w:rPr>
                <w:rFonts w:ascii="Arial" w:cs="Arial" w:eastAsia="Arial" w:hAnsi="Arial"/>
                <w:sz w:val="18"/>
                <w:szCs w:val="18"/>
                <w:color w:val="auto"/>
                <w:w w:val="88"/>
              </w:rPr>
              <w:t>Registration Rights Assignment Agreement, dated November 17, 2018 (incorporated by reference to Exhibit 10.3 to the Company’s Form 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 filed on November 20,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 w:type="dxa"/>
            <w:vAlign w:val="bottom"/>
            <w:tcBorders>
              <w:bottom w:val="single" w:sz="8" w:color="0000FF"/>
            </w:tcBorders>
            <w:gridSpan w:val="2"/>
          </w:tcPr>
          <w:p>
            <w:pPr>
              <w:spacing w:after="0" w:line="176" w:lineRule="exact"/>
              <w:rPr>
                <w:rFonts w:ascii="Arial" w:cs="Arial" w:eastAsia="Arial" w:hAnsi="Arial"/>
                <w:sz w:val="18"/>
                <w:szCs w:val="18"/>
                <w:color w:val="0000FF"/>
                <w:w w:val="84"/>
              </w:rPr>
            </w:pPr>
            <w:hyperlink r:id="rId9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2"/>
              </w:rPr>
              <w:t>Insider Letter, dated November 17, 2018 (incorporated by reference to Exhibit 10.4 to the Company’s Form 8-K, filed on November 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20" w:type="dxa"/>
            <w:vAlign w:val="bottom"/>
          </w:tcPr>
          <w:p>
            <w:pPr>
              <w:ind w:left="34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bottom w:val="single" w:sz="8" w:color="0000FF"/>
            </w:tcBorders>
            <w:gridSpan w:val="2"/>
            <w:shd w:val="clear" w:color="auto" w:fill="CCEEFF"/>
          </w:tcPr>
          <w:p>
            <w:pPr>
              <w:spacing w:after="0" w:line="177" w:lineRule="exact"/>
              <w:rPr>
                <w:rFonts w:ascii="Arial" w:cs="Arial" w:eastAsia="Arial" w:hAnsi="Arial"/>
                <w:sz w:val="18"/>
                <w:szCs w:val="18"/>
                <w:color w:val="0000FF"/>
                <w:w w:val="84"/>
              </w:rPr>
            </w:pPr>
            <w:hyperlink r:id="rId9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340"/>
              <w:spacing w:after="0" w:line="177" w:lineRule="exact"/>
              <w:rPr>
                <w:sz w:val="20"/>
                <w:szCs w:val="20"/>
                <w:color w:val="auto"/>
              </w:rPr>
            </w:pPr>
            <w:r>
              <w:rPr>
                <w:rFonts w:ascii="Arial" w:cs="Arial" w:eastAsia="Arial" w:hAnsi="Arial"/>
                <w:sz w:val="18"/>
                <w:szCs w:val="18"/>
                <w:color w:val="auto"/>
                <w:w w:val="95"/>
              </w:rPr>
              <w:t>Promissory Note in favor of BRAC Lending Group LLC, dated November 20, 2018 (incorporated by reference to Exhibit 10.5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Form 8-K, filed on November 20,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0" w:type="dxa"/>
            <w:vAlign w:val="bottom"/>
            <w:tcBorders>
              <w:bottom w:val="single" w:sz="8" w:color="0000FF"/>
            </w:tcBorders>
            <w:gridSpan w:val="2"/>
          </w:tcPr>
          <w:p>
            <w:pPr>
              <w:spacing w:after="0" w:line="176" w:lineRule="exact"/>
              <w:rPr>
                <w:rFonts w:ascii="Arial" w:cs="Arial" w:eastAsia="Arial" w:hAnsi="Arial"/>
                <w:sz w:val="18"/>
                <w:szCs w:val="18"/>
                <w:color w:val="0000FF"/>
                <w:w w:val="84"/>
              </w:rPr>
            </w:pPr>
            <w:hyperlink r:id="rId9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5"/>
              </w:rPr>
              <w:t>Promissory Note in favor of BRAC Lending Group LLC , dated February 21, 2019 (incorporated by reference to Exhibit 10.1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40" w:type="dxa"/>
            <w:vAlign w:val="bottom"/>
            <w:gridSpan w:val="2"/>
          </w:tcPr>
          <w:p>
            <w:pPr>
              <w:ind w:left="340"/>
              <w:spacing w:after="0"/>
              <w:rPr>
                <w:sz w:val="20"/>
                <w:szCs w:val="20"/>
                <w:color w:val="auto"/>
              </w:rPr>
            </w:pPr>
            <w:r>
              <w:rPr>
                <w:rFonts w:ascii="Arial" w:cs="Arial" w:eastAsia="Arial" w:hAnsi="Arial"/>
                <w:sz w:val="18"/>
                <w:szCs w:val="18"/>
                <w:color w:val="auto"/>
              </w:rPr>
              <w:t>Company’s Form 8-K, filed on February 22, 2019).</w:t>
            </w:r>
          </w:p>
        </w:tc>
        <w:tc>
          <w:tcPr>
            <w:tcW w:w="0" w:type="dxa"/>
            <w:vAlign w:val="bottom"/>
          </w:tcPr>
          <w:p>
            <w:pPr>
              <w:spacing w:after="0"/>
              <w:rPr>
                <w:sz w:val="1"/>
                <w:szCs w:val="1"/>
                <w:color w:val="auto"/>
              </w:rPr>
            </w:pPr>
          </w:p>
        </w:tc>
      </w:tr>
      <w:tr>
        <w:trPr>
          <w:trHeight w:val="218"/>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0000FF"/>
                <w:w w:val="84"/>
              </w:rPr>
              <w:t>10.16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Promissory Note in favor of A/Z Property Partners, LLC, dated December 31,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tcBorders>
              <w:bottom w:val="single" w:sz="8" w:color="0000EE"/>
            </w:tcBorders>
            <w:gridSpan w:val="2"/>
          </w:tcPr>
          <w:p>
            <w:pPr>
              <w:spacing w:after="0" w:line="176" w:lineRule="exact"/>
              <w:rPr>
                <w:rFonts w:ascii="Arial" w:cs="Arial" w:eastAsia="Arial" w:hAnsi="Arial"/>
                <w:sz w:val="18"/>
                <w:szCs w:val="18"/>
                <w:color w:val="0000EE"/>
                <w:w w:val="84"/>
              </w:rPr>
            </w:pPr>
            <w:hyperlink r:id="rId9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20" w:type="dxa"/>
            <w:vAlign w:val="bottom"/>
          </w:tcPr>
          <w:p>
            <w:pPr>
              <w:ind w:left="340"/>
              <w:spacing w:after="0" w:line="176" w:lineRule="exact"/>
              <w:rPr>
                <w:sz w:val="20"/>
                <w:szCs w:val="20"/>
                <w:color w:val="auto"/>
              </w:rPr>
            </w:pPr>
            <w:r>
              <w:rPr>
                <w:rFonts w:ascii="Arial" w:cs="Arial" w:eastAsia="Arial" w:hAnsi="Arial"/>
                <w:sz w:val="18"/>
                <w:szCs w:val="18"/>
                <w:color w:val="auto"/>
                <w:w w:val="95"/>
              </w:rPr>
              <w:t>Form of Subscription Agreement (incorporated by reference to Exhibit 10.1 to the Company’s Form 8-K, filed on March 12,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the Chief Executive Officer required by Rule 13a-14(a) or Rule 15d-14(a).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Certification of the Chief Financial Officer required by Rule 13a-14(a) or Rule 15d-14(a).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the Chief Executive Officer required by Rule 13a-14(b) or Rule 15d-14(b) and 18 U.S.C. 1350.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Borders>
              <w:top w:val="single" w:sz="8" w:color="CCEEFF"/>
              <w:bottom w:val="single" w:sz="8" w:color="0000EE"/>
            </w:tcBorders>
            <w:gridSpan w:val="3"/>
          </w:tcPr>
          <w:p>
            <w:pPr>
              <w:spacing w:after="0" w:line="17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Certification of the Chief Financial Officer required by Rule 13a-14(b) or Rule 15d-14(b) and 18 U.S.C. 1350.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1" w:lineRule="exact"/>
        <w:rPr>
          <w:sz w:val="20"/>
          <w:szCs w:val="20"/>
          <w:color w:val="auto"/>
        </w:rPr>
      </w:pPr>
    </w:p>
    <w:p>
      <w:pPr>
        <w:ind w:right="1220" w:firstLine="648"/>
        <w:spacing w:after="0" w:line="268"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540" w:val="left"/>
          <w:tab w:leader="none" w:pos="6200" w:val="left"/>
        </w:tabs>
        <w:rPr>
          <w:sz w:val="20"/>
          <w:szCs w:val="20"/>
          <w:color w:val="auto"/>
        </w:rPr>
      </w:pPr>
      <w:r>
        <w:rPr>
          <w:rFonts w:ascii="Arial" w:cs="Arial" w:eastAsia="Arial" w:hAnsi="Arial"/>
          <w:sz w:val="18"/>
          <w:szCs w:val="18"/>
          <w:color w:val="auto"/>
        </w:rPr>
        <w:t>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27940</wp:posOffset>
            </wp:positionV>
            <wp:extent cx="31889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President and Chief Executive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Signature</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Date</w:t>
            </w:r>
          </w:p>
        </w:tc>
      </w:tr>
      <w:tr>
        <w:trPr>
          <w:trHeight w:val="28"/>
        </w:trPr>
        <w:tc>
          <w:tcPr>
            <w:tcW w:w="3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r>
      <w:tr>
        <w:trPr>
          <w:trHeight w:val="424"/>
        </w:trPr>
        <w:tc>
          <w:tcPr>
            <w:tcW w:w="3400" w:type="dxa"/>
            <w:vAlign w:val="bottom"/>
          </w:tcPr>
          <w:p>
            <w:pPr>
              <w:spacing w:after="0"/>
              <w:rPr>
                <w:sz w:val="24"/>
                <w:szCs w:val="24"/>
                <w:color w:val="auto"/>
              </w:rPr>
            </w:pP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w w:val="95"/>
              </w:rPr>
              <w:t>Chairman,  President  and  Chief  Executive  Officer  (Principal</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Ackerman</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Executive Officer)</w:t>
            </w: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Richard Ackerman</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7"/>
        </w:trPr>
        <w:tc>
          <w:tcPr>
            <w:tcW w:w="3400" w:type="dxa"/>
            <w:vAlign w:val="bottom"/>
          </w:tcPr>
          <w:p>
            <w:pPr>
              <w:spacing w:after="0"/>
              <w:rPr>
                <w:sz w:val="24"/>
                <w:szCs w:val="24"/>
                <w:color w:val="auto"/>
              </w:rPr>
            </w:pP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w w:val="98"/>
              </w:rPr>
              <w:t>Chief Financial Officer, Chief Investment Officer and 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Bennett Kim</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(Principal Financial and Accounting Officer)</w:t>
            </w: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Bennett Kim</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Birdoff</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Richard Birdoff</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Fong</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Michael Fong</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F. Koenig</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Stuart F. Koenig</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G. Rex</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Albert G. Rex</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Troy Taylor</w:t>
            </w:r>
          </w:p>
        </w:tc>
        <w:tc>
          <w:tcPr>
            <w:tcW w:w="5460" w:type="dxa"/>
            <w:vAlign w:val="bottom"/>
            <w:gridSpan w:val="2"/>
          </w:tcPr>
          <w:p>
            <w:pPr>
              <w:ind w:left="6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660"/>
              <w:spacing w:after="0"/>
              <w:rPr>
                <w:sz w:val="20"/>
                <w:szCs w:val="20"/>
                <w:color w:val="auto"/>
              </w:rPr>
            </w:pPr>
            <w:r>
              <w:rPr>
                <w:rFonts w:ascii="Arial" w:cs="Arial" w:eastAsia="Arial" w:hAnsi="Arial"/>
                <w:sz w:val="18"/>
                <w:szCs w:val="18"/>
                <w:color w:val="auto"/>
              </w:rPr>
              <w:t>April 1, 2021</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Troy T. Taylor</w:t>
            </w:r>
          </w:p>
        </w:tc>
        <w:tc>
          <w:tcPr>
            <w:tcW w:w="6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884"/>
        </w:trPr>
        <w:tc>
          <w:tcPr>
            <w:tcW w:w="34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214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9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6"/>
              </w:rPr>
              <w:t>F-2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Financial Statements:</w:t>
            </w:r>
          </w:p>
        </w:tc>
        <w:tc>
          <w:tcPr>
            <w:tcW w:w="392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w:t>
            </w:r>
          </w:p>
        </w:tc>
        <w:tc>
          <w:tcPr>
            <w:tcW w:w="39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6"/>
              </w:rPr>
              <w:t>F-3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w:t>
            </w:r>
          </w:p>
        </w:tc>
        <w:tc>
          <w:tcPr>
            <w:tcW w:w="3920" w:type="dxa"/>
            <w:vAlign w:val="bottom"/>
          </w:tcPr>
          <w:p>
            <w:pPr>
              <w:jc w:val="center"/>
              <w:ind w:left="2492"/>
              <w:spacing w:after="0"/>
              <w:rPr>
                <w:sz w:val="20"/>
                <w:szCs w:val="20"/>
                <w:color w:val="auto"/>
              </w:rPr>
            </w:pPr>
            <w:r>
              <w:rPr>
                <w:rFonts w:ascii="Arial" w:cs="Arial" w:eastAsia="Arial" w:hAnsi="Arial"/>
                <w:sz w:val="18"/>
                <w:szCs w:val="18"/>
                <w:color w:val="auto"/>
                <w:w w:val="96"/>
              </w:rPr>
              <w:t>F-4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Changes in Stockholders’ Equity</w:t>
            </w:r>
          </w:p>
        </w:tc>
        <w:tc>
          <w:tcPr>
            <w:tcW w:w="3920" w:type="dxa"/>
            <w:vAlign w:val="bottom"/>
            <w:shd w:val="clear" w:color="auto" w:fill="CCEEFF"/>
          </w:tcPr>
          <w:p>
            <w:pPr>
              <w:jc w:val="center"/>
              <w:ind w:left="2492"/>
              <w:spacing w:after="0"/>
              <w:rPr>
                <w:sz w:val="20"/>
                <w:szCs w:val="20"/>
                <w:color w:val="auto"/>
              </w:rPr>
            </w:pPr>
            <w:r>
              <w:rPr>
                <w:rFonts w:ascii="Arial" w:cs="Arial" w:eastAsia="Arial" w:hAnsi="Arial"/>
                <w:sz w:val="18"/>
                <w:szCs w:val="18"/>
                <w:color w:val="auto"/>
                <w:w w:val="96"/>
              </w:rPr>
              <w:t>F-5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w:t>
            </w:r>
          </w:p>
        </w:tc>
        <w:tc>
          <w:tcPr>
            <w:tcW w:w="3920" w:type="dxa"/>
            <w:vAlign w:val="bottom"/>
          </w:tcPr>
          <w:p>
            <w:pPr>
              <w:jc w:val="center"/>
              <w:ind w:left="2492"/>
              <w:spacing w:after="0"/>
              <w:rPr>
                <w:sz w:val="20"/>
                <w:szCs w:val="20"/>
                <w:color w:val="auto"/>
              </w:rPr>
            </w:pPr>
            <w:r>
              <w:rPr>
                <w:rFonts w:ascii="Arial" w:cs="Arial" w:eastAsia="Arial" w:hAnsi="Arial"/>
                <w:sz w:val="18"/>
                <w:szCs w:val="18"/>
                <w:color w:val="auto"/>
                <w:w w:val="96"/>
              </w:rPr>
              <w:t>F-6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3920" w:type="dxa"/>
            <w:vAlign w:val="bottom"/>
            <w:shd w:val="clear" w:color="auto" w:fill="CCEEFF"/>
          </w:tcPr>
          <w:p>
            <w:pPr>
              <w:jc w:val="center"/>
              <w:ind w:left="2512"/>
              <w:spacing w:after="0"/>
              <w:rPr>
                <w:sz w:val="20"/>
                <w:szCs w:val="20"/>
                <w:color w:val="auto"/>
              </w:rPr>
            </w:pPr>
            <w:r>
              <w:rPr>
                <w:rFonts w:ascii="Arial" w:cs="Arial" w:eastAsia="Arial" w:hAnsi="Arial"/>
                <w:sz w:val="18"/>
                <w:szCs w:val="18"/>
                <w:color w:val="auto"/>
                <w:w w:val="89"/>
              </w:rPr>
              <w:t>F-7 to F-22</w:t>
            </w:r>
          </w:p>
        </w:tc>
      </w:tr>
      <w:tr>
        <w:trPr>
          <w:trHeight w:val="67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53" w:name="page54"/>
    <w:bookmarkEnd w:id="53"/>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Big Rock Partners Acquisition Corp.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have audited the accompanying consolidated balance sheets of Big Rock Partners Acquisition Corp. (the “Company”) as of December 31, 2020 and 2019, the related consolidated statements of operations, changes in stockholders’ equity and cash flows for each of the years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ended December 31, 2020,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2021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37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69,483</w:t>
            </w:r>
          </w:p>
        </w:tc>
      </w:tr>
      <w:tr>
        <w:trPr>
          <w:trHeight w:val="216"/>
        </w:trPr>
        <w:tc>
          <w:tcPr>
            <w:tcW w:w="8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69,489</w:t>
            </w:r>
          </w:p>
        </w:tc>
      </w:tr>
      <w:tr>
        <w:trPr>
          <w:trHeight w:val="216"/>
        </w:trPr>
        <w:tc>
          <w:tcPr>
            <w:tcW w:w="8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5,967,947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32,005,205</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6,050,405</w:t>
            </w: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32,074,694</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609,509</w:t>
            </w:r>
          </w:p>
        </w:tc>
        <w:tc>
          <w:tcPr>
            <w:tcW w:w="1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622,441</w:t>
            </w:r>
          </w:p>
        </w:tc>
      </w:tr>
      <w:tr>
        <w:trPr>
          <w:trHeight w:val="216"/>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Promissory notes payable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1,809,889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1,535,623</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3,281,546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2,574,205</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Common stock subject to possible redemption, -0- and 2,305,335 shares at redemption value at December 31, 2020 and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24,500,488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$0.001 par value; 1,000,000 shares authorized; none issued and outstanding</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rPr>
              <w:t>Common stock, $0.001 par value; 100,000,000 shares authorized; 2,688,242 and 2,844,414 shares issued and outstanding</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(excluding -0- and 2,305,335 shares subject to possible redemption) at December 31, 2020 and 2019, respectively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2,831,088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4,627,662</w:t>
            </w:r>
          </w:p>
        </w:tc>
      </w:tr>
      <w:tr>
        <w:trPr>
          <w:trHeight w:val="216"/>
        </w:trPr>
        <w:tc>
          <w:tcPr>
            <w:tcW w:w="86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(Accumulated deficit)/retained earnings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369,495</w:t>
            </w:r>
          </w:p>
        </w:tc>
      </w:tr>
      <w:tr>
        <w:trPr>
          <w:trHeight w:val="27"/>
        </w:trPr>
        <w:tc>
          <w:tcPr>
            <w:tcW w:w="8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2,768,859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5,000,001</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6,050,405</w:t>
            </w:r>
          </w:p>
        </w:tc>
        <w:tc>
          <w:tcPr>
            <w:tcW w:w="1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32,074,694</w:t>
            </w:r>
          </w:p>
        </w:tc>
      </w:tr>
      <w:tr>
        <w:trPr>
          <w:trHeight w:val="20"/>
        </w:trPr>
        <w:tc>
          <w:tcPr>
            <w:tcW w:w="8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6"/>
              </w:rPr>
              <w:t>Year Ended December 31,</w:t>
            </w:r>
          </w:p>
        </w:tc>
      </w:t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907,406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713,187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(907,406)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(713,187)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debt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1,205,820</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490,835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1,205,820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492,633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(84,206)</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(434,412)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408,427</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 subject to possible redemption</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4,555,229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Common stock subject to possible redemption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2,736,258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2,783,021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Retained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Earnings/</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Paid-in</w:t>
            </w:r>
          </w:p>
        </w:tc>
        <w:tc>
          <w:tcPr>
            <w:tcW w:w="11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8"/>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50"/>
        </w:trPr>
        <w:tc>
          <w:tcPr>
            <w:tcW w:w="5740" w:type="dxa"/>
            <w:vAlign w:val="bottom"/>
          </w:tcPr>
          <w:p>
            <w:pPr>
              <w:spacing w:after="0"/>
              <w:rPr>
                <w:sz w:val="21"/>
                <w:szCs w:val="21"/>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98"/>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Capital</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5,000,006</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(688,551)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(688,432)</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required to consummate a Business Combination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4,627,662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5,000,001</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(1,497,349)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(1,497,477)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share related to extension proxy vote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(299,225)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(299,253)</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(434,412)</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(434,412)</w:t>
            </w: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2,688,242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2,831,088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(64,917)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2,768,859</w:t>
            </w:r>
          </w:p>
        </w:tc>
        <w:tc>
          <w:tcPr>
            <w:tcW w:w="100" w:type="dxa"/>
            <w:vAlign w:val="bottom"/>
            <w:shd w:val="clear" w:color="auto" w:fill="CCEEFF"/>
          </w:tcPr>
          <w:p>
            <w:pPr>
              <w:spacing w:after="0"/>
              <w:rPr>
                <w:sz w:val="20"/>
                <w:szCs w:val="20"/>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r>
      <w:tr>
        <w:trPr>
          <w:trHeight w:val="250"/>
        </w:trPr>
        <w:tc>
          <w:tcPr>
            <w:tcW w:w="86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(434,412)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408,427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(1,205,820)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Forgiveness of debt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19,114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incomes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(69,483)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71,342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(16,311)</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(598,617)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(792,731)</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(993,099)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26,297,218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40,726,687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franchise and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512,993</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investing activities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26,176,022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40,246,581</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845,623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481,141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(26,297,218)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(40,726,687)</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(25,576,945)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(39,464,923)</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(11,073)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11,079</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r>
      <w:tr>
        <w:trPr>
          <w:trHeight w:val="210"/>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170,000</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1,497,477</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688,432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Capital contribution to Trust Account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280,000</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one subsidiary, Big Rock Merger Corp., a wholly-owned subsidiary of the Company incorporated in Delaware on January 22, 2019 (“Merger Sub”).</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activity through December 31, 2020 relates to the Company’s formation, its initial public offering (“Initial Public Offering”), which is described below, identifying a target company for a Business Combination, and activities in connection with the proposed acquisition of NeuroRx, Inc., a Delaware corporation (“</w:t>
      </w:r>
      <w:r>
        <w:rPr>
          <w:rFonts w:ascii="Arial" w:cs="Arial" w:eastAsia="Arial" w:hAnsi="Arial"/>
          <w:sz w:val="18"/>
          <w:szCs w:val="18"/>
          <w:u w:val="single" w:color="auto"/>
          <w:color w:val="auto"/>
        </w:rPr>
        <w:t>NeuroRx</w:t>
      </w:r>
      <w:r>
        <w:rPr>
          <w:rFonts w:ascii="Arial" w:cs="Arial" w:eastAsia="Arial" w:hAnsi="Arial"/>
          <w:sz w:val="18"/>
          <w:szCs w:val="18"/>
          <w:color w:val="auto"/>
        </w:rPr>
        <w:t>”) (see Note 7).</w:t>
      </w:r>
    </w:p>
    <w:p>
      <w:pPr>
        <w:spacing w:after="0" w:line="194"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69" w:lineRule="exact"/>
        <w:rPr>
          <w:sz w:val="20"/>
          <w:szCs w:val="20"/>
          <w:color w:val="auto"/>
        </w:rPr>
      </w:pPr>
    </w:p>
    <w:p>
      <w:pPr>
        <w:jc w:val="both"/>
        <w:ind w:firstLine="324"/>
        <w:spacing w:after="0" w:line="331"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ind w:firstLine="324"/>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7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initially had until November 22, 2018 to complete a Business Combination. However, if the Company anticipated that it would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(“BRAC”) (see Note 6). The notes are repayable upon the consummation of a Business Combination (see Note 6).</w:t>
      </w:r>
    </w:p>
    <w:p>
      <w:pPr>
        <w:spacing w:after="0" w:line="16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BRAC, in the original principal amount of $6,814 (see Note 6).</w:t>
      </w:r>
    </w:p>
    <w:p>
      <w:pPr>
        <w:spacing w:after="0" w:line="1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BRAC (see Note 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0" w:name="page61"/>
    <w:bookmarkEnd w:id="60"/>
    <w:p>
      <w:pPr>
        <w:jc w:val="both"/>
        <w:ind w:firstLine="324"/>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BRAC (see Note 6). In January and February 2020, AZ Property Partners and BRAC loaned the Company an additional aggregate amount of $90,427 each to pay for the extension through March 23, 2020, which was deposited into the Trust Account.</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3rd day prior to the end of any applicable monthly period was equal to or greater than $11.00 and the trading volume during the 10-day trading period exceeded 100,000 shares, the obligation to make any particular deposit would terminate with respect to the immediately following monthly period (but not with respect to any other future monthly period). In connection with this extension, the Company deposited an aggregate of $34,858 into the Trust Account to fund the extension through July 23, 2020, of which $17,429 was loaned to the Company by each of AZ Property Partners and BRAC.</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23, 2020, the Company's stockholders approved an amendment to the Amended and Restated Certificate of Incorporation to extend the period of time for which the Company is required to consummate a Business Combination (the “Fourth Extension”) from July 23, 2020 to December 23, 2020. The number of shares of common stock presented for redemption in connection with the Fourth Extension was 27,786. The Company paid cash in amount of $299,253, or approximately $10.77 per share, to redeeming stockholders. The Company agreed to deposit, or cause to be deposited on its behalf, into the Trust Account $0.02 for each public share outstanding for each 30-day extension period utilized through the Fourth Extension. In connection with this extension, as of November 13, 2020, the Company deposited an aggregate of $44,219 into the Trust Account, of which $22,110 was deposited as of September 30, 2020, to fund the extension through November 23, 2020, which amounts were loaned to the Company by AZ Property Partners and BRAC.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18, 2020, the Company held a special meeting pursuant to which the Company’s stockholders approved an amendment to the Amended and Restated Certificate of Incorporation to extend the period of time for which the Company is required to consummate a Business Combination (the “Fifth Extension”) from December 23, 2020 to April 23, 2021 (the “Extended Date”). In connection with this extension, no stockholders elected to redeem their shares of common stock.</w:t>
      </w:r>
    </w:p>
    <w:p>
      <w:pPr>
        <w:spacing w:after="0" w:line="1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1" w:name="page62"/>
    <w:bookmarkEnd w:id="61"/>
    <w:p>
      <w:pPr>
        <w:jc w:val="both"/>
        <w:ind w:firstLine="324"/>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was in compliance with Nasdaq Listing Rule 5620(a) for continued listing and the matter was closed.</w:t>
      </w:r>
    </w:p>
    <w:p>
      <w:pPr>
        <w:spacing w:after="0" w:line="19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17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March 25, 2020, the Company received formal notice from Nasdaq indicating that the Staff had granted the Company’s request for continued listing on Nasdaq. The decision followed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 The Company failed to meet certain of the conditions contained in the extension grant and has submitted a modified extension request to the Staff.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2" w:name="page63"/>
    <w:bookmarkEnd w:id="62"/>
    <w:p>
      <w:pPr>
        <w:jc w:val="both"/>
        <w:ind w:firstLine="324"/>
        <w:spacing w:after="0" w:line="294" w:lineRule="auto"/>
        <w:rPr>
          <w:sz w:val="20"/>
          <w:szCs w:val="20"/>
          <w:color w:val="auto"/>
        </w:rPr>
      </w:pPr>
      <w:r>
        <w:rPr>
          <w:rFonts w:ascii="Arial" w:cs="Arial" w:eastAsia="Arial" w:hAnsi="Arial"/>
          <w:sz w:val="16"/>
          <w:szCs w:val="16"/>
          <w:color w:val="auto"/>
        </w:rPr>
        <w:t>On August 10, 2020, the Company submitted a letter to Nasdaq indicating that it was in compliance with the Rule as of July 31, 2020 and, as a result, satisfies the minimum 300 public holder requirement and all other applicable criteria for continued listing on Nasdaq. Accordingly, the Company requested that the Staff render a formal determination to continue the listing of the Company’s securities. On August 11, 2020, the Company received a formal notice from Nasdaq notifying the Company that it regained compliance with the minimum 300 public holder requirements under Nasdaq rules and that the Panel had determined to continue the listing of the Company's securities on Nasdaq and close the matter.</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23, 2020, the Company received a notice from Nasdaq stating that, as of November 20, 2020, the Company was not in compliance with Listing Rule IM-5101-2 (the “Rule”),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December 31, 2020, the Company had $466 in its operating bank account, $5,967,947 in cash and marketable securities held in the Trust Account to be used for a Business Combination or to repurchase or convert stock in connection therewith and an adjusted working capital deficit of $609,509, which excludes prepaid income taxes of $51,642 and prepaid franchise taxes of $30,350, which have been paid from amounts in the Trust Account. As of December 31, 2020, approximately $138,764 of the amount on deposit in the Trust Account represented interest income, which is available to pay the Company’s tax obligations. To date, the Company has withdrawn $716,788 of interest from the Trust Account in order to pay the Company’s franchise and income taxes, of which $161,430 was withdrawn during the year ended December 31, 2020.</w:t>
      </w:r>
    </w:p>
    <w:p>
      <w:pPr>
        <w:spacing w:after="0" w:line="17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BRAC,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BRAC agreed to loan the Company all funds necessary to pay expenses incurred in connection with and in order to consummate a business combination (the “Business Combination Expenses”) and such loans will be added to the Initial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7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April 23, 2021 (or as may be extended) to consummate a Business Combination. There is no assurance that the Company will be able to do so prior to April 23, 2021, or as may be extended by shareholder vote.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financial statements do not include any adjustments that might result from the outcome of this uncertainty.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and 2019, the assets held in the Trust Account were held in money market funds, which are invested in U.S. Treasury securities. Through December 31, 2020, the Company has withdrawn $716,788 of interest from the Trust Account in order to pay its franchise and income taxes, of which $161,430 was withdrawn during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sheets. At December 31, 2020, there are no shares of common stock subject to possible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December 31, 2020 and 2019,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March 27, 2020, the CARES Act was enacted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 (iii) 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 Given the Company’s full valuation allowance position, the CARES Act did not have an impact on the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shares of common stock outstanding during the period, excluding shares of common stock subject to forfeiture.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income per share, since the exercise of the warrants are contingent upon the occurrence of future events and the inclusion of such warrants would be anti-dilutive.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consolidated statements of operations include a presentation of income (loss) per share for common shares subject to possible redemption in a manner similar to the two-class method of income (loss) per share. Net income (loss) per common share, basic and diluted, for Common stock subject to possible redemption is calculated by dividing the proportionate share of income or loss on marketable securities held by the Trust Account, net of applicable franchise and income taxes, by the weighted average number of shares of Common stock subject to possible redemption outstanding since original issuance.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Common stock subject to possible redemption, by the weighted average number of non-redeemable common stock outstanding for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Non-redeemable common stock includes Founder Shares and non-redeemable shares of common stock as these shares do not have any redemption features.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Non-redeemable common stock participates in the income or loss on marketable securities based on non-redeemable shares’ proportionate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7"/>
              </w:rPr>
              <w:t>Year Ended December 31,</w:t>
            </w:r>
          </w:p>
        </w:tc>
      </w:tr>
      <w:tr>
        <w:trPr>
          <w:trHeight w:val="233"/>
        </w:trPr>
        <w:tc>
          <w:tcPr>
            <w:tcW w:w="7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0"/>
                <w:szCs w:val="20"/>
                <w:color w:val="auto"/>
              </w:rPr>
            </w:pPr>
          </w:p>
        </w:tc>
      </w:tr>
      <w:tr>
        <w:trPr>
          <w:trHeight w:val="241"/>
        </w:trPr>
        <w:tc>
          <w:tcPr>
            <w:tcW w:w="7940" w:type="dxa"/>
            <w:vAlign w:val="bottom"/>
          </w:tcPr>
          <w:p>
            <w:pPr>
              <w:spacing w:after="0"/>
              <w:rPr>
                <w:sz w:val="20"/>
                <w:szCs w:val="20"/>
                <w:color w:val="auto"/>
              </w:rPr>
            </w:pPr>
            <w:r>
              <w:rPr>
                <w:rFonts w:ascii="Arial" w:cs="Arial" w:eastAsia="Arial" w:hAnsi="Arial"/>
                <w:sz w:val="18"/>
                <w:szCs w:val="18"/>
                <w:i w:val="1"/>
                <w:iCs w:val="1"/>
                <w:color w:val="auto"/>
              </w:rPr>
              <w:t>Common stock subject to possible redemption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7940" w:type="dxa"/>
            <w:vAlign w:val="bottom"/>
          </w:tcPr>
          <w:p>
            <w:pPr>
              <w:spacing w:after="0"/>
              <w:rPr>
                <w:sz w:val="20"/>
                <w:szCs w:val="20"/>
                <w:color w:val="auto"/>
              </w:rPr>
            </w:pPr>
            <w:r>
              <w:rPr>
                <w:rFonts w:ascii="Arial" w:cs="Arial" w:eastAsia="Arial" w:hAnsi="Arial"/>
                <w:sz w:val="18"/>
                <w:szCs w:val="18"/>
                <w:color w:val="auto"/>
              </w:rPr>
              <w:t>Numerator: Earnings allocable to Common stock subject to possible redemption</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922,211</w:t>
            </w: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Less: interest available to be withdrawn for payment of taxes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(218,317)</w:t>
            </w:r>
          </w:p>
        </w:tc>
      </w:tr>
      <w:tr>
        <w:trPr>
          <w:trHeight w:val="27"/>
        </w:trPr>
        <w:tc>
          <w:tcPr>
            <w:tcW w:w="7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w:t>
            </w: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703,894</w:t>
            </w:r>
          </w:p>
        </w:tc>
      </w:tr>
      <w:tr>
        <w:trPr>
          <w:trHeight w:val="210"/>
        </w:trPr>
        <w:tc>
          <w:tcPr>
            <w:tcW w:w="7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Common stock subject to possible redemption</w:t>
            </w: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shares outstanding, Common stock subject to possible redemption</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546,586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4,555,229</w:t>
            </w:r>
          </w:p>
        </w:tc>
      </w:tr>
      <w:tr>
        <w:trPr>
          <w:trHeight w:val="20"/>
        </w:trPr>
        <w:tc>
          <w:tcPr>
            <w:tcW w:w="7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7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0.15</w:t>
            </w:r>
          </w:p>
        </w:tc>
      </w:tr>
      <w:tr>
        <w:trPr>
          <w:trHeight w:val="20"/>
        </w:trPr>
        <w:tc>
          <w:tcPr>
            <w:tcW w:w="7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i w:val="1"/>
                <w:iCs w:val="1"/>
                <w:color w:val="auto"/>
              </w:rPr>
              <w:t>Non-Redeemable Common Stock</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(1,062,553)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(1,594)</w:t>
            </w: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allocable to Common stock subject to possible redemption</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940" w:type="dxa"/>
            <w:vAlign w:val="bottom"/>
          </w:tcPr>
          <w:p>
            <w:pPr>
              <w:ind w:left="340"/>
              <w:spacing w:after="0"/>
              <w:rPr>
                <w:sz w:val="20"/>
                <w:szCs w:val="20"/>
                <w:color w:val="auto"/>
              </w:rPr>
            </w:pPr>
            <w:r>
              <w:rPr>
                <w:rFonts w:ascii="Arial" w:cs="Arial" w:eastAsia="Arial" w:hAnsi="Arial"/>
                <w:sz w:val="18"/>
                <w:szCs w:val="18"/>
                <w:color w:val="auto"/>
              </w:rPr>
              <w:t>Non-Redeemable Net Loss</w:t>
            </w:r>
          </w:p>
        </w:tc>
        <w:tc>
          <w:tcPr>
            <w:tcW w:w="7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(1,062,553)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(1,594)</w:t>
            </w:r>
          </w:p>
        </w:tc>
      </w:tr>
      <w:tr>
        <w:trPr>
          <w:trHeight w:val="20"/>
        </w:trPr>
        <w:tc>
          <w:tcPr>
            <w:tcW w:w="7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2,736,258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2,783,021</w:t>
            </w:r>
          </w:p>
        </w:tc>
      </w:tr>
      <w:tr>
        <w:trPr>
          <w:trHeight w:val="20"/>
        </w:trPr>
        <w:tc>
          <w:tcPr>
            <w:tcW w:w="7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(0.11)</w:t>
            </w:r>
          </w:p>
        </w:tc>
      </w:tr>
      <w:tr>
        <w:trPr>
          <w:trHeight w:val="586"/>
        </w:trPr>
        <w:tc>
          <w:tcPr>
            <w:tcW w:w="7940" w:type="dxa"/>
            <w:vAlign w:val="bottom"/>
            <w:tcBorders>
              <w:top w:val="single" w:sz="8" w:color="CCEEFF"/>
              <w:bottom w:val="single" w:sz="8" w:color="auto"/>
            </w:tcBorders>
          </w:tcPr>
          <w:p>
            <w:pPr>
              <w:ind w:left="5460"/>
              <w:spacing w:after="0"/>
              <w:rPr>
                <w:sz w:val="20"/>
                <w:szCs w:val="20"/>
                <w:color w:val="auto"/>
              </w:rPr>
            </w:pPr>
            <w:r>
              <w:rPr>
                <w:rFonts w:ascii="Arial" w:cs="Arial" w:eastAsia="Arial" w:hAnsi="Arial"/>
                <w:sz w:val="18"/>
                <w:szCs w:val="18"/>
                <w:color w:val="auto"/>
              </w:rPr>
              <w:t>F-14</w:t>
            </w:r>
          </w:p>
        </w:tc>
        <w:tc>
          <w:tcPr>
            <w:tcW w:w="7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limit of $250,000. The Company has not experienced losses on this account and management believes the Company is not exposed to significant risks on such account.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(excluding the Private Placement Units and the Representative Shares (as defined in Note 8)). As a result of the underwriters’ election to fully exercise their over-allotment option, 225,000 Founder Shares are no longer subject to forfeiture.</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December 31, 2020 and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EXTENSION FUNDING AGREEMENT AND PROMISSORY NOTES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17, 2018, the Company entered into an Extension Funding Agreement with the Sponsor and BRAC. Pursuant to the Extension Funding Agreement, the Sponsor transferred an aggregate of 1,500,000 Founders Shares to BRAC in exchange for the agreements set forth below and aggregate cash consideration of $1.00.</w:t>
      </w:r>
    </w:p>
    <w:p>
      <w:pPr>
        <w:spacing w:after="0" w:line="194"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5"/>
          <w:szCs w:val="15"/>
          <w:color w:val="auto"/>
        </w:rPr>
        <w:t>Pursuant to the Extension Funding Agreement, the Sponsor agreed to extend the period of time the Company has to consummate a Business Combination up to two times for an aggregate of up to six months and BRAC agreed to loan the Company the funds necessary to obtain the extensions (the “Extensions”). On November 20, 2018 and February 21, 2019, the Company issued unsecured promissory notes (the “Initial Notes”) in favor of BRAC, in the original principal amount of $690,000 each (or an aggregate of $1,380,000), to provide the Company the funds necessary to obtain an aggregate of six-months of Extensions. Pursuant to the Extension Funding Agreement, BRAC has also agreed to loan the Company all funds necessary to pay expenses incurred in connection with and in order to consummate a Business Combination (the “Business Combination Expenses”) and such loans will be added to the Initial Notes.</w:t>
      </w:r>
    </w:p>
    <w:p>
      <w:pPr>
        <w:spacing w:after="0" w:line="158" w:lineRule="exact"/>
        <w:rPr>
          <w:sz w:val="20"/>
          <w:szCs w:val="20"/>
          <w:color w:val="auto"/>
        </w:rPr>
      </w:pPr>
    </w:p>
    <w:p>
      <w:pPr>
        <w:jc w:val="both"/>
        <w:ind w:firstLine="324"/>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“Second Note”) in favor of BRAC in order to pay for part of the third extension payment in the original principal amount of $6,814.</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31, 2019, the Company issued an unsecured promissory note, as amended on March 31, 2020, June 30,2020 and September 30, 2020, (the “Third Note” and, together with the Initial Notes and the Second Note, the “Extension Notes”) in favor of BRAC in the aggregate principal amount of $317,547 in order to pay for part of the extension payments. Through December 31, 2020, BRAC loaned the Company an aggregate of $423,075, of which $141,299 was loaned during the year ended December 31, 2020 to pay for part of the extension payments through December 23, 2020 and $32,967 was loaned during the year ended December 31, 2020 to pay for extension related costs and $100,000 was loaned during the year ended December 31, 2020 for working capital purposes.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8" w:name="page69"/>
    <w:bookmarkEnd w:id="68"/>
    <w:p>
      <w:pPr>
        <w:jc w:val="both"/>
        <w:ind w:firstLine="324"/>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outstanding balance under the Extension Notes amounted to an aggregate of approximately $1,809,889.</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on March 31, 2020, June 30, 2020 and September 30, 2020, in the principal amount of approximately $862,148 to pay for Non-Business Combination Related Expenses incurred through December 31, 2020 and expenses incurred thereafter. If the Company does not consummate a Business Combination, all outstanding loans made by the Sponsor to cover the Non-Business Combination Related Expenses will be forgiven, except as set forth above. The Company repaid $35,000 of such loans during the year ended December 31, 2020.</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Through December 31, 2020, AZ Property Partners loaned the Company an aggregate of $862,148, of which $141,299 was loaned during the year ended December 31, 2020 to pay for part of the extension payments through December 23, 2020 and $339,708 was loaned during the year ended December 31, 2020 to pay for Non-Business Combination Related Expenses.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outstanding balance under promissory note with AZ Property Partners amounted to $862,148.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Forgiveness of Debt</w:t>
      </w:r>
    </w:p>
    <w:p>
      <w:pPr>
        <w:spacing w:after="0" w:line="22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During the year ended December 31, 2020, one of the Company’s service providers forgave certain amounts due to them in connection with previously provided services. As a result, the Company recorded a forgiveness of debt in the amount of $352,071.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13, 2020, the Company, NeuroRx and Merger Sub, entered into an Agreement and Plan of Merger (“Merger Agreement”). Pursuant to the Merger Agreement, Merger Sub will merge with and into NeuroRx, with NeuroRx surviving the merger (“Merger”). As a result of the Merger, and upon consummation of the Merger and the other transactions contemplated by the Merger Agreement (“Transactions”), NeuroRx will become a wholly-owned subsidiary of the Company, with the stockholders of NeuroRx becoming stockholders of the Company.</w:t>
      </w:r>
    </w:p>
    <w:p>
      <w:pPr>
        <w:spacing w:after="0" w:line="1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Pursuant to the Merger Agreement, the aggregate consideration payable to the stockholders of NeuroRx at the effective time of the Merger (the “Effective Time”) will equal 50,000,000 shares (“Closing Consideration”) of the Company’s common stock, par value $0.001 per share (“Company Common Stock”), plus the additional contingent right to receive the Earnout Shares and Earnout Cash (each as defined below).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 Common Stock at an adjusted exercise price, in each case, pursuant to the terms of the Merger Agreement.</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part of the aggregate consideration payable to NeuroRx’s securityholders pursuant to the terms of the Merger Agreement, NeuroRx’s securityholders (including option holders and warrant holders) who own NeuroRx securities immediately prior to the closing of the Transactions will have the contingent right to receive their pro rata portion of (i) an aggregate of 25,000,000 shares of the Company Common Stock (“Earnout Shares”) if, prior to December 31, 2022, the NeuroRx COVID-19 Drug receives emergency use authorization by the Food and Drug Administration (“FDA”) and NeuroRx submits and the FDA files for review a new drug application for the NeuroRx COVID-19 Drug (the occurrence of the foregoing, the “Earnout Shares Milestone”), and (ii) an aggregate of $100,000,000 in cash (“Earnout Cash”) upon the earlier to occur of (x) FDA approval of the NeuroRx COVID-19 Drug and the listing of the NeuroRx COVID-19 Drug in the FDA’s “Orange Book” and (y) FDA approval of the NeuroRx Antidepressant Drug Regimen and the listing of the NeuroRx Antidepressant Drug Regimen in the FDA’s “Orange Book,” in each case prior to December 31, 2022 (the occurrence of either of clauses (x) or (y), the “Earnout Cash Milestone”).</w:t>
      </w:r>
    </w:p>
    <w:p>
      <w:pPr>
        <w:spacing w:after="0" w:line="3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3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preferences as may be determined from time to time by the Company’s Board of Directors. At December 31, 2020 and 2019, there were no shares of preferred stock issued or outstanding.</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December 31, 2020 and 2019, there were 2,688,242 and 2,844,414 shares of common stock issued and outstanding, respectively (excluding -0- and 2,305,335 shares of common stock subject to possible redemption, respectively).</w:t>
      </w:r>
    </w:p>
    <w:p>
      <w:pPr>
        <w:spacing w:after="0" w:line="16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0" w:name="page71"/>
    <w:bookmarkEnd w:id="70"/>
    <w:p>
      <w:pPr>
        <w:jc w:val="both"/>
        <w:ind w:firstLine="324"/>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500" w:hanging="43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 w:lineRule="exact"/>
        <w:rPr>
          <w:rFonts w:ascii="Arial" w:cs="Arial" w:eastAsia="Arial" w:hAnsi="Arial"/>
          <w:sz w:val="18"/>
          <w:szCs w:val="18"/>
          <w:color w:val="auto"/>
        </w:rPr>
      </w:pPr>
    </w:p>
    <w:p>
      <w:pPr>
        <w:ind w:left="500" w:hanging="43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500" w:hanging="43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9" w:lineRule="exact"/>
        <w:rPr>
          <w:rFonts w:ascii="Arial" w:cs="Arial" w:eastAsia="Arial" w:hAnsi="Arial"/>
          <w:sz w:val="18"/>
          <w:szCs w:val="18"/>
          <w:color w:val="auto"/>
        </w:rPr>
      </w:pPr>
    </w:p>
    <w:p>
      <w:pPr>
        <w:ind w:left="500" w:hanging="43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ind w:left="500" w:hanging="438"/>
        <w:spacing w:after="0" w:line="28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 w:lineRule="exact"/>
        <w:rPr>
          <w:rFonts w:ascii="Arial" w:cs="Arial" w:eastAsia="Arial" w:hAnsi="Arial"/>
          <w:sz w:val="16"/>
          <w:szCs w:val="16"/>
          <w:color w:val="auto"/>
        </w:rPr>
      </w:pPr>
    </w:p>
    <w:p>
      <w:pPr>
        <w:ind w:left="500" w:hanging="43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1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Unit Purchase Option</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deferred tax assets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47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95"/>
              </w:rPr>
              <w:t>2019</w:t>
            </w:r>
          </w:p>
        </w:tc>
        <w:tc>
          <w:tcPr>
            <w:tcW w:w="140" w:type="dxa"/>
            <w:vAlign w:val="bottom"/>
          </w:tcPr>
          <w:p>
            <w:pPr>
              <w:spacing w:after="0"/>
              <w:rPr>
                <w:sz w:val="21"/>
                <w:szCs w:val="2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8"/>
                <w:szCs w:val="18"/>
                <w:color w:val="auto"/>
              </w:rPr>
              <w:t>Deferred tax assets</w:t>
            </w:r>
          </w:p>
        </w:tc>
        <w:tc>
          <w:tcPr>
            <w:tcW w:w="3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w:t>
            </w:r>
          </w:p>
        </w:tc>
        <w:tc>
          <w:tcPr>
            <w:tcW w:w="4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Valuation Allowance</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(105,559)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valuation allowance</w:t>
            </w:r>
          </w:p>
        </w:tc>
        <w:tc>
          <w:tcPr>
            <w:tcW w:w="39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424"/>
        </w:trPr>
        <w:tc>
          <w:tcPr>
            <w:tcW w:w="47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39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68"/>
        </w:trPr>
        <w:tc>
          <w:tcPr>
            <w:tcW w:w="4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5"/>
                <w:szCs w:val="15"/>
                <w:b w:val="1"/>
                <w:bCs w:val="1"/>
                <w:color w:val="auto"/>
              </w:rPr>
              <w:t>As of December 31,</w:t>
            </w:r>
          </w:p>
        </w:tc>
      </w:tr>
      <w:tr>
        <w:trPr>
          <w:trHeight w:val="250"/>
        </w:trPr>
        <w:tc>
          <w:tcPr>
            <w:tcW w:w="47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95"/>
              </w:rPr>
              <w:t>2019</w:t>
            </w:r>
          </w:p>
        </w:tc>
        <w:tc>
          <w:tcPr>
            <w:tcW w:w="140" w:type="dxa"/>
            <w:vAlign w:val="bottom"/>
          </w:tcPr>
          <w:p>
            <w:pPr>
              <w:spacing w:after="0"/>
              <w:rPr>
                <w:sz w:val="21"/>
                <w:szCs w:val="2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8"/>
                <w:szCs w:val="18"/>
                <w:color w:val="auto"/>
              </w:rPr>
              <w:t>Federal</w:t>
            </w:r>
          </w:p>
        </w:tc>
        <w:tc>
          <w:tcPr>
            <w:tcW w:w="3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4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102,332</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Deferred</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2,936</w:t>
            </w:r>
          </w:p>
        </w:tc>
      </w:tr>
      <w:tr>
        <w:trPr>
          <w:trHeight w:val="216"/>
        </w:trPr>
        <w:tc>
          <w:tcPr>
            <w:tcW w:w="47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State and Local</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Deferred</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(21,062)</w:t>
            </w:r>
          </w:p>
        </w:tc>
      </w:tr>
      <w:tr>
        <w:trPr>
          <w:trHeight w:val="216"/>
        </w:trPr>
        <w:tc>
          <w:tcPr>
            <w:tcW w:w="47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provision</w:t>
            </w:r>
          </w:p>
        </w:tc>
        <w:tc>
          <w:tcPr>
            <w:tcW w:w="39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17,841</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84,206</w:t>
            </w:r>
          </w:p>
        </w:tc>
      </w:tr>
      <w:tr>
        <w:trPr>
          <w:trHeight w:val="20"/>
        </w:trPr>
        <w:tc>
          <w:tcPr>
            <w:tcW w:w="4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87"/>
        </w:trPr>
        <w:tc>
          <w:tcPr>
            <w:tcW w:w="4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right"/>
              <w:ind w:right="3052"/>
              <w:spacing w:after="0"/>
              <w:rPr>
                <w:sz w:val="20"/>
                <w:szCs w:val="20"/>
                <w:color w:val="auto"/>
              </w:rPr>
            </w:pPr>
            <w:r>
              <w:rPr>
                <w:rFonts w:ascii="Arial" w:cs="Arial" w:eastAsia="Arial" w:hAnsi="Arial"/>
                <w:sz w:val="18"/>
                <w:szCs w:val="18"/>
                <w:color w:val="auto"/>
              </w:rPr>
              <w:t>F-20</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72" w:name="page73"/>
    <w:bookmarkEnd w:id="72"/>
    <w:p>
      <w:pPr>
        <w:jc w:val="both"/>
        <w:ind w:right="80" w:firstLine="324"/>
        <w:spacing w:after="0" w:line="268" w:lineRule="auto"/>
        <w:rPr>
          <w:sz w:val="20"/>
          <w:szCs w:val="20"/>
          <w:color w:val="auto"/>
        </w:rPr>
      </w:pPr>
      <w:r>
        <w:rPr>
          <w:rFonts w:ascii="Arial" w:cs="Arial" w:eastAsia="Arial" w:hAnsi="Arial"/>
          <w:sz w:val="18"/>
          <w:szCs w:val="18"/>
          <w:color w:val="auto"/>
        </w:rPr>
        <w:t>As of December 31, 2020 and 2019, the Company had $416,571 and $-0- of U.S. federal and state net operating loss carryovers available to offset future taxable income, respectively, which carryforward indefinitely.</w:t>
      </w:r>
    </w:p>
    <w:p>
      <w:pPr>
        <w:spacing w:after="0" w:line="186" w:lineRule="exact"/>
        <w:rPr>
          <w:sz w:val="20"/>
          <w:szCs w:val="20"/>
          <w:color w:val="auto"/>
        </w:rPr>
      </w:pPr>
    </w:p>
    <w:p>
      <w:pPr>
        <w:jc w:val="both"/>
        <w:ind w:right="80" w:firstLine="324"/>
        <w:spacing w:after="0" w:line="291" w:lineRule="auto"/>
        <w:rPr>
          <w:sz w:val="20"/>
          <w:szCs w:val="20"/>
          <w:color w:val="auto"/>
        </w:rPr>
      </w:pPr>
      <w:r>
        <w:rPr>
          <w:rFonts w:ascii="Arial" w:cs="Arial" w:eastAsia="Arial" w:hAnsi="Arial"/>
          <w:sz w:val="16"/>
          <w:szCs w:val="16"/>
          <w:color w:val="auto"/>
        </w:rPr>
        <w:t xml:space="preserve">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w:t>
      </w:r>
      <w:r>
        <w:rPr>
          <w:rFonts w:ascii="Arial" w:cs="Arial" w:eastAsia="Arial" w:hAnsi="Arial"/>
          <w:sz w:val="16"/>
          <w:szCs w:val="16"/>
          <w:color w:val="231F20"/>
        </w:rPr>
        <w:t>After consideration of all of the information available, management</w:t>
      </w:r>
      <w:r>
        <w:rPr>
          <w:rFonts w:ascii="Arial" w:cs="Arial" w:eastAsia="Arial" w:hAnsi="Arial"/>
          <w:sz w:val="16"/>
          <w:szCs w:val="16"/>
          <w:color w:val="auto"/>
        </w:rPr>
        <w:t xml:space="preserve"> </w:t>
      </w:r>
      <w:r>
        <w:rPr>
          <w:rFonts w:ascii="Arial" w:cs="Arial" w:eastAsia="Arial" w:hAnsi="Arial"/>
          <w:sz w:val="16"/>
          <w:szCs w:val="16"/>
          <w:color w:val="231F20"/>
        </w:rPr>
        <w:t>believes that significant uncertainty exists with respect to future realization of the deferred tax assets and has therefore established a full valuation allowance. For the year ended December 31, 2020 and 2019, the change in the valuation allowance was $105,559 and $21,062.</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December 31,</w:t>
            </w:r>
          </w:p>
        </w:tc>
        <w:tc>
          <w:tcPr>
            <w:tcW w:w="12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True-ups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since inception remain open to examination by the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31"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6"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1360" w:right="80" w:hanging="1012"/>
        <w:spacing w:after="0" w:line="331" w:lineRule="auto"/>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1" w:lineRule="exact"/>
        <w:rPr>
          <w:sz w:val="20"/>
          <w:szCs w:val="20"/>
          <w:color w:val="auto"/>
        </w:rPr>
      </w:pPr>
    </w:p>
    <w:p>
      <w:pPr>
        <w:ind w:left="1360" w:right="80" w:hanging="1012"/>
        <w:spacing w:after="0" w:line="268" w:lineRule="auto"/>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509" w:right="259" w:bottom="1440" w:gutter="0" w:footer="0" w:header="0"/>
        </w:sectPr>
      </w:pPr>
    </w:p>
    <w:bookmarkStart w:id="73" w:name="page74"/>
    <w:bookmarkEnd w:id="73"/>
    <w:p>
      <w:pPr>
        <w:jc w:val="both"/>
        <w:ind w:firstLine="324"/>
        <w:spacing w:after="0" w:line="268"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2019,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right"/>
              <w:ind w:right="279"/>
              <w:spacing w:after="0"/>
              <w:rPr>
                <w:sz w:val="20"/>
                <w:szCs w:val="20"/>
                <w:color w:val="auto"/>
              </w:rPr>
            </w:pPr>
            <w:r>
              <w:rPr>
                <w:rFonts w:ascii="Arial" w:cs="Arial" w:eastAsia="Arial" w:hAnsi="Arial"/>
                <w:sz w:val="15"/>
                <w:szCs w:val="15"/>
                <w:b w:val="1"/>
                <w:bCs w:val="1"/>
                <w:color w:val="auto"/>
              </w:rPr>
              <w:t>Level</w:t>
            </w:r>
          </w:p>
        </w:tc>
        <w:tc>
          <w:tcPr>
            <w:tcW w:w="1520" w:type="dxa"/>
            <w:vAlign w:val="bottom"/>
            <w:gridSpan w:val="3"/>
          </w:tcPr>
          <w:p>
            <w:pPr>
              <w:ind w:left="260"/>
              <w:spacing w:after="0"/>
              <w:rPr>
                <w:sz w:val="20"/>
                <w:szCs w:val="20"/>
                <w:color w:val="auto"/>
              </w:rPr>
            </w:pPr>
            <w:r>
              <w:rPr>
                <w:rFonts w:ascii="Arial" w:cs="Arial" w:eastAsia="Arial" w:hAnsi="Arial"/>
                <w:sz w:val="15"/>
                <w:szCs w:val="15"/>
                <w:b w:val="1"/>
                <w:bCs w:val="1"/>
                <w:color w:val="auto"/>
                <w:w w:val="94"/>
              </w:rPr>
              <w:t>December 31,2020</w:t>
            </w:r>
          </w:p>
        </w:tc>
        <w:tc>
          <w:tcPr>
            <w:tcW w:w="1300" w:type="dxa"/>
            <w:vAlign w:val="bottom"/>
            <w:gridSpan w:val="3"/>
          </w:tcPr>
          <w:p>
            <w:pPr>
              <w:ind w:left="100"/>
              <w:spacing w:after="0"/>
              <w:rPr>
                <w:sz w:val="20"/>
                <w:szCs w:val="20"/>
                <w:color w:val="auto"/>
              </w:rPr>
            </w:pPr>
            <w:r>
              <w:rPr>
                <w:rFonts w:ascii="Arial" w:cs="Arial" w:eastAsia="Arial" w:hAnsi="Arial"/>
                <w:sz w:val="15"/>
                <w:szCs w:val="15"/>
                <w:b w:val="1"/>
                <w:bCs w:val="1"/>
                <w:color w:val="auto"/>
                <w:w w:val="90"/>
              </w:rPr>
              <w:t>December 31,2019</w:t>
            </w:r>
          </w:p>
        </w:tc>
      </w:tr>
      <w:tr>
        <w:trPr>
          <w:trHeight w:val="242"/>
        </w:trPr>
        <w:tc>
          <w:tcPr>
            <w:tcW w:w="7340" w:type="dxa"/>
            <w:vAlign w:val="bottom"/>
          </w:tcPr>
          <w:p>
            <w:pPr>
              <w:spacing w:after="0"/>
              <w:rPr>
                <w:sz w:val="20"/>
                <w:szCs w:val="20"/>
                <w:color w:val="auto"/>
              </w:rPr>
            </w:pPr>
            <w:r>
              <w:rPr>
                <w:rFonts w:ascii="Arial" w:cs="Arial" w:eastAsia="Arial" w:hAnsi="Arial"/>
                <w:sz w:val="18"/>
                <w:szCs w:val="18"/>
                <w:color w:val="auto"/>
              </w:rPr>
              <w:t>Assets:</w:t>
            </w: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ind w:left="260"/>
              <w:spacing w:after="0" w:line="244" w:lineRule="exact"/>
              <w:rPr>
                <w:sz w:val="20"/>
                <w:szCs w:val="20"/>
                <w:color w:val="auto"/>
              </w:rPr>
            </w:pPr>
            <w:r>
              <w:rPr>
                <w:rFonts w:ascii="Arial" w:cs="Arial" w:eastAsia="Arial" w:hAnsi="Arial"/>
                <w:sz w:val="22"/>
                <w:szCs w:val="22"/>
                <w:color w:val="auto"/>
                <w:w w:val="91"/>
              </w:rPr>
              <w:t>$ 5,967,947</w:t>
            </w:r>
          </w:p>
        </w:tc>
        <w:tc>
          <w:tcPr>
            <w:tcW w:w="1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100"/>
              <w:spacing w:after="0" w:line="244" w:lineRule="exact"/>
              <w:rPr>
                <w:sz w:val="20"/>
                <w:szCs w:val="20"/>
                <w:color w:val="auto"/>
              </w:rPr>
            </w:pPr>
            <w:r>
              <w:rPr>
                <w:rFonts w:ascii="Arial" w:cs="Arial" w:eastAsia="Arial" w:hAnsi="Arial"/>
                <w:sz w:val="22"/>
                <w:szCs w:val="22"/>
                <w:color w:val="auto"/>
                <w:w w:val="96"/>
              </w:rPr>
              <w:t>$32,005,205</w:t>
            </w:r>
          </w:p>
        </w:tc>
      </w:tr>
      <w:tr>
        <w:trPr>
          <w:trHeight w:val="430"/>
        </w:trPr>
        <w:tc>
          <w:tcPr>
            <w:tcW w:w="7340" w:type="dxa"/>
            <w:vAlign w:val="bottom"/>
          </w:tcPr>
          <w:p>
            <w:pPr>
              <w:spacing w:after="0"/>
              <w:rPr>
                <w:sz w:val="20"/>
                <w:szCs w:val="20"/>
                <w:color w:val="auto"/>
              </w:rPr>
            </w:pPr>
            <w:r>
              <w:rPr>
                <w:rFonts w:ascii="Arial" w:cs="Arial" w:eastAsia="Arial" w:hAnsi="Arial"/>
                <w:sz w:val="18"/>
                <w:szCs w:val="18"/>
                <w:b w:val="1"/>
                <w:bCs w:val="1"/>
                <w:color w:val="auto"/>
              </w:rPr>
              <w:t>11. SUBSEQUENT EVENTS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consolidated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January 15, 2021, the Company received notice from the Nasdaq that a Nasdaq Hearings Panel (“Panel”) had granted the Company’s request to continue its listing on Nasdaq through May 24, 2021 (“Extended Date”).</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January 4, 2021, the Company received a notice from the Staff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a hearing before the Panel to appeal the Staff’s determination with respect to both notices and the hearing was held on January 14, 2021. The Panel’s decision is subject to certain conditions, including that the Company will have completed its proposed business combination (the “Business Combination”) with NeuroRx on or before the Extended Date and that the combined company will have demonstrated compliance with all requirements for initial listing on Nasdaq. While the Company expects to complete the Business Combination by the Extended Date, the Company cannot assure you that it will be able to do so.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12, 2021, the Company entered into subscription agreements (“Subscription Agreements”) with certain qualified institutional buyers and institutional accredited investors (collectively, the “PIPE Investors”), pursuant to which the Company will, substantially concurrently with, and contingent upon, the consummation of the Merger, issue an aggregate of 1,000,000 shares of the Company Common Stock, par value $0.001 per share, to the PIPE Investors at a price of $10.00 per share, for aggregate gross proceeds to the Company of $10,000,000 (the “PIPE”). 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the Company Common Stock shall have been approved for listing on the Nasdaq Capital Market,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Merger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March 19, 2021, the Company entered into a second amendment (“Amendment”) to the Merger Agreement with NeuroRx and Merger Sub. The Amendment extends the outside date by which the parties must consummate the Merger from April 23, 2021 to May 24,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the proposed Merger with NeuroRx, a purported stockholder of the Company has filed a lawsuit and other purported stockholders have threatened to file lawsuits alleging breaches of fiduciary duty and violations of the disclosure requirements of the Exchange Act. The Company intends to defend the matters vigorously. These matters are in the early stages and the Company is currently unable to reasonably determine the outcome or estimate any potential losses, and, as such, has not recorded a loss contingency.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219"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This Amendment to Agreement and Plan of Merger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27, 2021, is by and among Big Rock Partners Acquisition Corp., a Delaware corporation (“</w:t>
      </w:r>
      <w:r>
        <w:rPr>
          <w:rFonts w:ascii="Arial" w:cs="Arial" w:eastAsia="Arial" w:hAnsi="Arial"/>
          <w:sz w:val="18"/>
          <w:szCs w:val="18"/>
          <w:u w:val="single" w:color="auto"/>
          <w:color w:val="auto"/>
        </w:rPr>
        <w:t>BRPA</w:t>
      </w:r>
      <w:r>
        <w:rPr>
          <w:rFonts w:ascii="Arial" w:cs="Arial" w:eastAsia="Arial" w:hAnsi="Arial"/>
          <w:sz w:val="18"/>
          <w:szCs w:val="18"/>
          <w:color w:val="auto"/>
        </w:rPr>
        <w:t>”), NeuroRx,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Big Rock Merger Corp., a Delaware corporation and wholly owned Subsidiary of BRPA (“</w:t>
      </w:r>
      <w:r>
        <w:rPr>
          <w:rFonts w:ascii="Arial" w:cs="Arial" w:eastAsia="Arial" w:hAnsi="Arial"/>
          <w:sz w:val="18"/>
          <w:szCs w:val="18"/>
          <w:u w:val="single" w:color="auto"/>
          <w:color w:val="auto"/>
        </w:rPr>
        <w:t>Merger Sub</w:t>
      </w:r>
      <w:r>
        <w:rPr>
          <w:rFonts w:ascii="Arial" w:cs="Arial" w:eastAsia="Arial" w:hAnsi="Arial"/>
          <w:sz w:val="18"/>
          <w:szCs w:val="18"/>
          <w:color w:val="auto"/>
        </w:rPr>
        <w:t>”). Each of BRPA, Merger Sub, and the Company, are referred to herein, individually, as a “Party” and, collectively, as the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Factual 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Parties entered into an Agreement and Plan of Merger, dated as of December 13, 2020 (as amended,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Parties have agreed that the Company will pay the filing fee with respect to the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In connection with the Company’s payment of the filing fee with respect to the Registration Statement, the Parties desire to amend the Original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to (i) decrease the aggregate principal amount available under the Note Amendment pursuant to Section 1.12 of the Original Agreement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$3,000,000 to $2,708,213.36, and (ii) modify the condition to Closing contained in Section 6.2(k) of the Original Agreement to decrease the maximum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all BRPA Borrowings outstanding that are due and payable as of the Closing Date or at any time after the Closing from $3,000,000 to $2,708,213.36.</w:t>
      </w:r>
    </w:p>
    <w:p>
      <w:pPr>
        <w:spacing w:after="0" w:line="242" w:lineRule="exact"/>
        <w:rPr>
          <w:sz w:val="20"/>
          <w:szCs w:val="20"/>
          <w:color w:val="auto"/>
        </w:rPr>
      </w:pPr>
    </w:p>
    <w:p>
      <w:pPr>
        <w:ind w:right="800" w:firstLine="648"/>
        <w:spacing w:after="0" w:line="268"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hereby agree as follows:</w:t>
      </w:r>
    </w:p>
    <w:p>
      <w:pPr>
        <w:spacing w:after="0" w:line="186" w:lineRule="exact"/>
        <w:rPr>
          <w:sz w:val="20"/>
          <w:szCs w:val="20"/>
          <w:color w:val="auto"/>
        </w:rPr>
      </w:pPr>
    </w:p>
    <w:p>
      <w:pPr>
        <w:ind w:right="140" w:firstLine="656"/>
        <w:spacing w:after="0" w:line="268" w:lineRule="auto"/>
        <w:tabs>
          <w:tab w:leader="none" w:pos="82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Amendment to BRPA Loan Agreements</w:t>
      </w:r>
      <w:r>
        <w:rPr>
          <w:rFonts w:ascii="Arial" w:cs="Arial" w:eastAsia="Arial" w:hAnsi="Arial"/>
          <w:sz w:val="18"/>
          <w:szCs w:val="18"/>
          <w:color w:val="auto"/>
        </w:rPr>
        <w:t>. Section 1.12 of the Original Agreement is hereby amended as follows: Each use of the text “$3,000,000” in Section 1.12 of the Original Agreement is hereby deleted and the text “$2,708,213.36” is inserted therefor.</w:t>
      </w:r>
    </w:p>
    <w:p>
      <w:pPr>
        <w:spacing w:after="0" w:line="185" w:lineRule="exact"/>
        <w:rPr>
          <w:rFonts w:ascii="Arial" w:cs="Arial" w:eastAsia="Arial" w:hAnsi="Arial"/>
          <w:sz w:val="18"/>
          <w:szCs w:val="18"/>
          <w:color w:val="auto"/>
        </w:rPr>
      </w:pPr>
    </w:p>
    <w:p>
      <w:pPr>
        <w:ind w:right="380" w:firstLine="656"/>
        <w:spacing w:after="0" w:line="259" w:lineRule="auto"/>
        <w:tabs>
          <w:tab w:leader="none" w:pos="82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Section 6.2(k) of the Original Agreement is hereby amended as follows: The text “three million dollars ($3,000,000)” in Section 6.2(k) of the Original Agreement is hereby deleted and the text “two million seven hundred eight thousand two hundred thirteen dollars and thirty-six cents ($2,708,213.36)” is inserted therefor.</w:t>
      </w:r>
    </w:p>
    <w:p>
      <w:pPr>
        <w:spacing w:after="0" w:line="193" w:lineRule="exact"/>
        <w:rPr>
          <w:rFonts w:ascii="Arial" w:cs="Arial" w:eastAsia="Arial" w:hAnsi="Arial"/>
          <w:sz w:val="18"/>
          <w:szCs w:val="18"/>
          <w:color w:val="auto"/>
        </w:rPr>
      </w:pPr>
    </w:p>
    <w:p>
      <w:pPr>
        <w:ind w:left="840" w:hanging="184"/>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4"/>
        <w:spacing w:after="0" w:line="259" w:lineRule="auto"/>
        <w:tabs>
          <w:tab w:leader="none" w:pos="1535" w:val="left"/>
        </w:tabs>
        <w:numPr>
          <w:ilvl w:val="2"/>
          <w:numId w:val="22"/>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Capitalized terms not defined herein shall have the meaning ascribed to them in the Original Agreement. On and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each reference in the Original Agreement to “this Agreement”, “hereunder”, “hereof”, “herein” or words of like import referring to the Original Agreement shall mean and be a reference to the Original Agreement as amended by this Amendment.</w:t>
      </w:r>
    </w:p>
    <w:p>
      <w:pPr>
        <w:spacing w:after="0" w:line="193" w:lineRule="exact"/>
        <w:rPr>
          <w:rFonts w:ascii="Arial" w:cs="Arial" w:eastAsia="Arial" w:hAnsi="Arial"/>
          <w:sz w:val="18"/>
          <w:szCs w:val="18"/>
          <w:color w:val="auto"/>
        </w:rPr>
      </w:pPr>
    </w:p>
    <w:p>
      <w:pPr>
        <w:ind w:left="1300" w:right="20" w:hanging="1292"/>
        <w:spacing w:after="0" w:line="25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 Further Amendments</w:t>
      </w:r>
      <w:r>
        <w:rPr>
          <w:rFonts w:ascii="Arial" w:cs="Arial" w:eastAsia="Arial" w:hAnsi="Arial"/>
          <w:sz w:val="18"/>
          <w:szCs w:val="18"/>
          <w:color w:val="auto"/>
        </w:rPr>
        <w:t>. The Original Agreement shall remain in full force and effect except as expressly amended by this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execution and delivery hereof, the Original Agreement shall thereupon be deemed to be amended as hereinabove set forth as fully and with the same effect as if the amendments made hereby were originally set forth in the Original Agreement, and this Amendment and the Original Agreement shall henceforth be read, taken and construed as one and the same instrument. Article VIII of the Original Agreement is hereby incorporated herein, mutatis mutandis.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5" w:name="page76"/>
    <w:bookmarkEnd w:id="75"/>
    <w:p>
      <w:pPr>
        <w:spacing w:after="0"/>
        <w:rPr>
          <w:sz w:val="20"/>
          <w:szCs w:val="20"/>
          <w:color w:val="auto"/>
        </w:rPr>
      </w:pPr>
      <w:r>
        <w:rPr>
          <w:rFonts w:ascii="Arial" w:cs="Arial" w:eastAsia="Arial" w:hAnsi="Arial"/>
          <w:sz w:val="15"/>
          <w:szCs w:val="15"/>
          <w:color w:val="auto"/>
        </w:rPr>
        <w:t>IN WITNESS WHEREOF, the Parties have caused this Agreement to be executed as of the date first written above.</w:t>
      </w:r>
    </w:p>
    <w:p>
      <w:pPr>
        <w:sectPr>
          <w:pgSz w:w="11900" w:h="16838" w:orient="portrait"/>
          <w:cols w:equalWidth="0" w:num="1">
            <w:col w:w="9479"/>
          </w:cols>
          <w:pgMar w:left="980" w:top="563"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BIG ROCK PARTNERS ACQUISITION CORP.</w:t>
      </w: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Ackerman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Richard Ackerman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NEURORX, INC.</w:t>
      </w: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Javitt</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Jonathan Javitt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BIG ROCK MERGER CORP.</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Ackerman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Richard Ackerman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281305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63" w:right="1440" w:bottom="1440" w:gutter="0" w:footer="0" w:header="0"/>
          <w:type w:val="continuous"/>
        </w:sectPr>
      </w:pPr>
    </w:p>
    <w:bookmarkStart w:id="76" w:name="page77"/>
    <w:bookmarkEnd w:id="76"/>
    <w:p>
      <w:pPr>
        <w:ind w:left="10420"/>
        <w:spacing w:after="0"/>
        <w:rPr>
          <w:sz w:val="20"/>
          <w:szCs w:val="20"/>
          <w:color w:val="auto"/>
        </w:rPr>
      </w:pPr>
      <w:r>
        <w:rPr>
          <w:rFonts w:ascii="Arial" w:cs="Arial" w:eastAsia="Arial" w:hAnsi="Arial"/>
          <w:sz w:val="16"/>
          <w:szCs w:val="16"/>
          <w:b w:val="1"/>
          <w:bCs w:val="1"/>
          <w:color w:val="auto"/>
        </w:rPr>
        <w:t>Exhibit 4.8</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is a description of the material terms of the common stock of Big Rock Partners Acquisition Corp. (the “Company,” “we,” “us” or “our”), as well as other material terms of the Company’s Amended and Restated Certificate of Incorporation, as amended (“Charter”), the Company’s Amended and Restated Bylaws, as amended (“Bylaws”), and the applicable provisions of Delaware law. This description is only a summary. You should read it together with the Charter and Bylaws, which are included as exhibits to the Company’s Annual Report on Form 10-K for the year ended December 31, 2020 and incorporated by reference 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are authorized to issue 100,000,000 shares of common stock, par value $0.001, and 1,000,000 shares of preferred stock, par value $0.001.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Composition. </w:t>
      </w:r>
      <w:r>
        <w:rPr>
          <w:rFonts w:ascii="Arial" w:cs="Arial" w:eastAsia="Arial" w:hAnsi="Arial"/>
          <w:sz w:val="18"/>
          <w:szCs w:val="18"/>
          <w:color w:val="auto"/>
        </w:rPr>
        <w:t>Each unit consists of one share of common stock one right and one-half of one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units are listed on the Nasdaq Capital Market under the symbol “BRPAU.”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Authorization. </w:t>
      </w:r>
      <w:r>
        <w:rPr>
          <w:rFonts w:ascii="Arial" w:cs="Arial" w:eastAsia="Arial" w:hAnsi="Arial"/>
          <w:sz w:val="16"/>
          <w:szCs w:val="16"/>
          <w:color w:val="auto"/>
        </w:rPr>
        <w:t>The outstanding shares of the Company’s common stock are duly authorized, validly issued, fully paid and nonassessable.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Company’s common stock is listed on the Nasdaq Capital Market under the symbol “BRPA.”</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stockholders of record are entitled to one vote for each share held on all matters to be voted on by stockholders.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vote held to approve our initial business combination, our sponsor, initial stockholders, as well as all of our officers and directors, have agreed to vote their respective shares of common stock owned by them immediately prior to the initial public offering and any shares purchased in the initial public offering or following the initial public offering in the open market in favor of the proposed business combination.</w:t>
      </w:r>
    </w:p>
    <w:p>
      <w:pPr>
        <w:spacing w:after="0" w:line="16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Holders of common stock issued in the Company’s initial public offering (which we refer to as “public shares”)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demand that the Company convert such shares into a pro rata portion of the Company’s trust account upon the consummation of our initial business combination, either in connection with a stockholder meeting called to approve the business combination or by means of a tender offer.</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We intend to conduct redemptions without a stockholder vote pursuant to the tender offer rules of the Securities and Exchange Commission (“SEC”) unless stockholder approval is required by law or stock exchange listing requirement or we choose to seek stockholder approval for business or other legal reasons.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Charter, conduct the redemptions pursuant to the tender offer rules of the SEC, and file tender offer documents with the SEC prior to consummating our initial business combination. Our Charter requires these tender offer documents to contain substantially the same financial and other information about the initial business combination and the redemption rights as is required under the SEC’s proxy rules. If, however, stockholder approval of the transaction is required by law or Nasdaq,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we will consummate our initial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firstLine="648"/>
        <w:spacing w:after="0" w:line="288" w:lineRule="auto"/>
        <w:rPr>
          <w:sz w:val="20"/>
          <w:szCs w:val="20"/>
          <w:color w:val="auto"/>
        </w:rPr>
      </w:pPr>
      <w:r>
        <w:rPr>
          <w:rFonts w:ascii="Arial" w:cs="Arial" w:eastAsia="Arial" w:hAnsi="Arial"/>
          <w:sz w:val="16"/>
          <w:szCs w:val="16"/>
          <w:i w:val="1"/>
          <w:iCs w:val="1"/>
          <w:color w:val="auto"/>
        </w:rPr>
        <w:t>Outside Date</w:t>
      </w:r>
      <w:r>
        <w:rPr>
          <w:rFonts w:ascii="Arial" w:cs="Arial" w:eastAsia="Arial" w:hAnsi="Arial"/>
          <w:sz w:val="16"/>
          <w:szCs w:val="16"/>
          <w:color w:val="auto"/>
        </w:rPr>
        <w:t>. Pursuant to our Charter, if we do not consummate an initial business combination by April 30, 2021 (unless such date is extended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pursuant to an amendment to our Charter), our corporate existence will cease except for the purposes of winding up our affairs and liquidating and we will redeem 100% of our outstanding public shares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shares, subject to applicable law and as further described herein. Our Sponsor, officers and directors have agreed to waive their rights to participate in any liquidation distribution from the trust account occurring upon our failure to consummate an initial business combination with respect to the founder’s common stock. Our Sponsor, officers and directors will therefore not participate in any liquidation distribution from the trust account with respect to such shares. They will, however, participate in any liquidation distribution from the trust account with respect to any shares of common stock acquired after our IPO.</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to amend any provisions of our Charter that would affect our public stockholders’ ability to convert their shares in connection with a business combination or affect the substance or timing of our obligation to redeem 100% of our public shares if we do not complete a business combination by the required date set forth in our Charter, we will provide public stockholders with the opportunity to convert their public shares in connection with any such vote. This conversion right shall apply in the event of the approval of any such amendment, whether proposed by our Sponsor, any executive officer, director or director nominee, or any other person.</w:t>
      </w:r>
    </w:p>
    <w:p>
      <w:pPr>
        <w:spacing w:after="0" w:line="2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 xml:space="preserve">Preemptive Rights. </w:t>
      </w:r>
      <w:r>
        <w:rPr>
          <w:rFonts w:ascii="Arial" w:cs="Arial" w:eastAsia="Arial" w:hAnsi="Arial"/>
          <w:sz w:val="16"/>
          <w:szCs w:val="16"/>
          <w:color w:val="auto"/>
        </w:rPr>
        <w:t>Our stockholders have no conversion, preemptive or other subscription rights and there are no sinking fund or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applicable to the shares of common stock, except that public stockholders have the right to sell their shares to us in a tender offer or have their shares of common stock converted to cash equal to their pro rata share of the trust account if they vote on the proposed business combination in connection with such business combination and the business combination is completed. Public stockholders who sell or convert their stock into their share of the trust account still have the right to exercise the warrants that they received as part of the units.</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paid any cash dividends on our shares of common stock to date and do not intend to pay cash dividends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Shares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sponsor has agreed (i) that such shares are subject to certain transfer restrictions, as described in more detail below and (ii) (A) to waive its redemption rights with respect to the founder’s shares and public shares in connection with the completion of our business combination and (B) to waive its rights to liquidating distributions from the trust account with respect to the founder’s shares if we fail to complete our business combination by July 23, 2020, or later if additional extensions are approved, although our sponsor (or any of our executive officers, directors or affiliates) will be entitled to liquidating distributions from the trust account with respect to any public shares acquired if we fail to complete our initial business combination by April 30, 2021, or later if additional extensions are approved. If we submit our business combination to our public stockholders for a vote, our initial stockholder has agreed to vote its founder’s shares and any public shares purchased during or after the initial public offering in favor of our initial business combination and our executive officers, directors and director nominees have also agreed to vote any public shares purchased during or after the offering in favor of our initial business combination. Permitted transferees of our sponsor will be subject to the same obligations of our sponsor.</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Subject to certain limited exceptions, these shares will not be transferred, assigned, sold or released from escrow until one year after the date of the consummation of our initial business combination, or earlier with respect to fifty percent (50%) of such shares if, subsequent to our business combination, the last sales price of our common stock equals or exceeds $12.50 per share (as adjusted for stock splits, stock dividends, reorganizations and recapitalizations) for any 20 trading days within any 30-trading day period following the consummation of our initial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are no shares of preferred stock outstanding. Our Charter authorizes the issuance of 1,000,000 shares of preferred stock with such designation, rights and preferences as may be determined from time to time by our board of directors. No shares of preferred stock are being issued or registered in the initial public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Rights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rights are listed on the Nasdaq Capital Market under the symbol “BRPAR.”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Rights</w:t>
      </w:r>
    </w:p>
    <w:p>
      <w:pPr>
        <w:spacing w:after="0" w:line="225"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Each holder of a right will receive one-tenth (1/10) of one share of common stock upon consummation of our initial business combination, even if the holder of such right redeemed all shares of common stock held by it in connection with the initial business combination. No additional consideration will be required to be paid by a holder of rights in order to receive its additional shares upon consummation of an initial business combination, as the consideration related thereto has been included in the unit purchase price paid for by investors in the initial public offering. 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the 1/10 share underlying each right (without paying any additional consideration) upon consummation of the business combination. More specifically, the right holder will be required to indicate its election to convert the rights into underlying shares as well as to return the original rights certificates to us.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such funds with respect to their rights, nor will they receive any distribution from our assets held outside of the trust account with respect to such rights, and the rights will expire worthless.</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soon as practicable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it is entitled. We will notify registered holders of the rights to deliver their rights to the rights agent promptly upon consummation of such business combination and have been informed by the rights agent that the process of exchanging their rights for shares of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you might not receive the shares of common stock underlying the rights.</w:t>
      </w:r>
    </w:p>
    <w:p>
      <w:pPr>
        <w:spacing w:after="0" w:line="173"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The shares issuable upon conversion of the rights will be freely tradable (except to the extent held by affiliates of ours). We will not issue fractional shares upon conversion of the rights. If, upon conversion of the rights, a holder would be entitled to receive a fractional interest in a share, we will, upon conversion, comply with Section 155 of the Delaware General Corporation Law (which provides that Delaware companies shall either (1) arrange for the disposition of fractional interests by those entitled thereto, (2) pay in cash the fair value of fractions of a share as of the time when those entitled to receive such fractions are determined or (3) issue scrip or warrants in registered form (either represented by a certificate or uncertificated) or in bearer form (represented by a certificate) which shall entitle the holder to receive a full share upon the surrender of such scrip or warrants aggregating a full share). We will make the determination of how we are treating fractional shares at the time of our initial business combination and will include such determination in the proxy materials we will send to stockholders for their consideration of such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contained in the Private Placement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rights contained in the private placement units have the same terms as the public stockholders' rights. See "Rights- Public Stockholders'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rights are listed on the Nasdaq Capital Market under the symbol “BRPAW.”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Each whole warrant entitles the registered holder to purchase one share of common stock at a price of $11.50 per share,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as discussed below, at any time after the completion of an initial business combination.</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9" w:name="page80"/>
    <w:bookmarkEnd w:id="79"/>
    <w:p>
      <w:pPr>
        <w:jc w:val="both"/>
        <w:ind w:firstLine="648"/>
        <w:spacing w:after="0" w:line="259"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We may call the warrants for redemption (excluding the warrants contained in the private placement units and any warrants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private units issued to our sponsor, officers or directors in payment of working capital loans made to us, but including any outstanding warrants issued upon exercise of the unit purchase option issued to EarlyBirdCapital and/or its designees), in whole and not in part, at a price of $0.01 per warrant,</w:t>
      </w:r>
    </w:p>
    <w:p>
      <w:pPr>
        <w:spacing w:after="0" w:line="3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$21.00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shares of common stock for the 5 trading days ending on the third trading day prior to the date on which the notice of redemption is sent to the holders of warrants.</w:t>
      </w:r>
    </w:p>
    <w:p>
      <w:pPr>
        <w:spacing w:after="0" w:line="19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i w:val="1"/>
          <w:iCs w:val="1"/>
          <w:color w:val="auto"/>
        </w:rPr>
        <w:t xml:space="preserve">Amendments, Adjustments. </w:t>
      </w:r>
      <w:r>
        <w:rPr>
          <w:rFonts w:ascii="Arial" w:cs="Arial" w:eastAsia="Arial" w:hAnsi="Arial"/>
          <w:sz w:val="16"/>
          <w:szCs w:val="16"/>
          <w:color w:val="auto"/>
        </w:rPr>
        <w:t>The warrants will be issued in registered form under a warrant agreement between Continental Stock Transfer &amp; Trust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warrants in order to make any change that adversely affects the interests of the registered holders.</w:t>
      </w:r>
    </w:p>
    <w:p>
      <w:pPr>
        <w:spacing w:after="0" w:line="16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will be issued upon exercise of the warrants. If, by reason of any adjustment made pursuant to the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upon exercise of the warrants, a holder would be entitled to receive a fractional interest in a share, we will, upon exercise, round up to the nearest whole number the number of shares of common stock to be issued to the warrant 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contained in the Private Placement Units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warrants contained in the private placement units are not be transferable, assignable or salable until after the completion of our initial business combination (except, among other limited exceptions as described under “Principal Stockholders”) and they are not be redeemable by us and may be exercised on a cashless basis so long as they are held by our sponsor or its permitted transferees. Otherwise, the warrants contained in the private placement units have terms and provisions that are identical to the public stockholder warrants. If the warrants contained in the private placement units are held by holders other than our sponsor or its permitted transferees, the warrants contained in the private placement units will be redeemable by us and exercisable by the holders on the same basis as the warrants included in the units being sold in our initial public offering.</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holders of the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warrant exercise is sent to the warrant agent. The reason that we have agreed that these warrants may be exercised on a cashless basis so long as they are held by our sponsor and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Certain Anti-Takeover Provisions of Delaware Law and our Charter and Bylaws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Charter provides that our board of directors will be classified into two classes of directors of approximately equal size. As a result, in most circumstances, a person can gain control of our board only by successfully engaging in a proxy contest at two or more annual meetings. Furthermore, because our board is classified, directors may be removed only with cause by a majority of our outstanding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90th day nor earlier than the open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Charter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Although we believe this provision benefits our company by providing increased consistency in the application of Delaware law in the types of lawsuits to which it applies, the provision may have the effect of discouraging lawsuits against our directors and officers.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statute prevents certain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corporations, under certain circumstances, from engaging in a “business combination” with:</w:t>
      </w:r>
    </w:p>
    <w:p>
      <w:pPr>
        <w:spacing w:after="0" w:line="2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“business combination” includes a merger or sale of more than 10% of our assets. However, the above provisions of Section 203 do not apply if:</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board of directors approves the transaction that made the stockholder an “interested stockholder,” prior to the date of the transaction;</w:t>
      </w:r>
    </w:p>
    <w:p>
      <w:pPr>
        <w:spacing w:after="0" w:line="32" w:lineRule="exact"/>
        <w:rPr>
          <w:rFonts w:ascii="Arial" w:cs="Arial" w:eastAsia="Arial" w:hAnsi="Arial"/>
          <w:sz w:val="16"/>
          <w:szCs w:val="16"/>
          <w:color w:val="auto"/>
        </w:rPr>
      </w:pPr>
    </w:p>
    <w:p>
      <w:pPr>
        <w:ind w:left="660" w:right="2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Charter provides that our directors and officers will be indemnified by us to the fullest extent authorized by Delaware law as it now exists or may in the future be amended. In addition, our Charter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bylaws also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6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225" w:lineRule="exact"/>
        <w:rPr>
          <w:rFonts w:ascii="Arial" w:cs="Arial" w:eastAsia="Arial" w:hAnsi="Arial"/>
          <w:sz w:val="18"/>
          <w:szCs w:val="18"/>
          <w:color w:val="auto"/>
        </w:rPr>
      </w:pPr>
    </w:p>
    <w:p>
      <w:pPr>
        <w:ind w:right="6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60" w:firstLine="8"/>
        <w:spacing w:after="0" w:line="268" w:lineRule="auto"/>
        <w:tabs>
          <w:tab w:leader="none" w:pos="1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1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ind w:left="660" w:right="120" w:hanging="4"/>
        <w:spacing w:after="0" w:line="259" w:lineRule="auto"/>
        <w:tabs>
          <w:tab w:leader="none" w:pos="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ind w:left="660" w:right="320" w:hanging="4"/>
        <w:spacing w:after="0" w:line="259" w:lineRule="auto"/>
        <w:tabs>
          <w:tab w:leader="none" w:pos="9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660" w:right="880" w:hanging="4"/>
        <w:spacing w:after="0" w:line="369" w:lineRule="auto"/>
        <w:tabs>
          <w:tab w:leader="none" w:pos="899"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jc w:val="both"/>
        <w:ind w:left="660" w:right="340" w:hanging="4"/>
        <w:spacing w:after="0" w:line="259" w:lineRule="auto"/>
        <w:tabs>
          <w:tab w:leader="none" w:pos="9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74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6"/>
          <w:szCs w:val="16"/>
          <w:color w:val="auto"/>
        </w:rPr>
      </w:pPr>
    </w:p>
    <w:p>
      <w:pPr>
        <w:ind w:left="660" w:right="300" w:hanging="4"/>
        <w:spacing w:after="0" w:line="331" w:lineRule="auto"/>
        <w:tabs>
          <w:tab w:leader="none" w:pos="889"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660" w:right="260" w:hanging="4"/>
        <w:spacing w:after="0" w:line="268" w:lineRule="auto"/>
        <w:tabs>
          <w:tab w:leader="none" w:pos="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4140" w:val="left"/>
          <w:tab w:leader="none" w:pos="4820" w:val="left"/>
        </w:tabs>
        <w:rPr>
          <w:sz w:val="20"/>
          <w:szCs w:val="20"/>
          <w:color w:val="auto"/>
        </w:rPr>
      </w:pPr>
      <w:r>
        <w:rPr>
          <w:rFonts w:ascii="Arial" w:cs="Arial" w:eastAsia="Arial" w:hAnsi="Arial"/>
          <w:sz w:val="18"/>
          <w:szCs w:val="18"/>
          <w:color w:val="auto"/>
        </w:rPr>
        <w:t>Dated: 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40633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406336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225" w:lineRule="exact"/>
        <w:rPr>
          <w:rFonts w:ascii="Arial" w:cs="Arial" w:eastAsia="Arial" w:hAnsi="Arial"/>
          <w:sz w:val="18"/>
          <w:szCs w:val="18"/>
          <w:color w:val="auto"/>
        </w:rPr>
      </w:pPr>
    </w:p>
    <w:p>
      <w:pPr>
        <w:ind w:right="60"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60" w:firstLine="8"/>
        <w:spacing w:after="0" w:line="268"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ind w:left="660" w:right="120" w:hanging="4"/>
        <w:spacing w:after="0" w:line="259" w:lineRule="auto"/>
        <w:tabs>
          <w:tab w:leader="none" w:pos="8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ind w:left="660" w:right="320" w:hanging="4"/>
        <w:spacing w:after="0" w:line="259" w:lineRule="auto"/>
        <w:tabs>
          <w:tab w:leader="none" w:pos="9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660" w:right="880" w:hanging="4"/>
        <w:spacing w:after="0" w:line="369" w:lineRule="auto"/>
        <w:tabs>
          <w:tab w:leader="none" w:pos="899"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jc w:val="both"/>
        <w:ind w:left="660" w:right="340" w:hanging="4"/>
        <w:spacing w:after="0" w:line="259" w:lineRule="auto"/>
        <w:tabs>
          <w:tab w:leader="none" w:pos="9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740" w:firstLine="8"/>
        <w:spacing w:after="0" w:line="331" w:lineRule="auto"/>
        <w:tabs>
          <w:tab w:leader="none" w:pos="1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6"/>
          <w:szCs w:val="16"/>
          <w:color w:val="auto"/>
        </w:rPr>
      </w:pPr>
    </w:p>
    <w:p>
      <w:pPr>
        <w:ind w:left="660" w:right="300" w:hanging="4"/>
        <w:spacing w:after="0" w:line="331" w:lineRule="auto"/>
        <w:tabs>
          <w:tab w:leader="none" w:pos="8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660" w:right="260" w:hanging="4"/>
        <w:spacing w:after="0" w:line="268" w:lineRule="auto"/>
        <w:tabs>
          <w:tab w:leader="none" w:pos="8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4040" w:val="left"/>
          <w:tab w:leader="none" w:pos="4720" w:val="left"/>
        </w:tabs>
        <w:rPr>
          <w:sz w:val="20"/>
          <w:szCs w:val="20"/>
          <w:color w:val="auto"/>
        </w:rPr>
      </w:pPr>
      <w:r>
        <w:rPr>
          <w:rFonts w:ascii="Arial" w:cs="Arial" w:eastAsia="Arial" w:hAnsi="Arial"/>
          <w:sz w:val="18"/>
          <w:szCs w:val="18"/>
          <w:color w:val="auto"/>
        </w:rPr>
        <w:t>Dated: 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10795</wp:posOffset>
            </wp:positionV>
            <wp:extent cx="41319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Chief Financial Officer, Chief Investment Officer and Director (Principal Financial and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2020,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260" w:val="left"/>
          <w:tab w:leader="none" w:pos="4940" w:val="left"/>
        </w:tabs>
        <w:rPr>
          <w:sz w:val="20"/>
          <w:szCs w:val="20"/>
          <w:color w:val="auto"/>
        </w:rPr>
      </w:pPr>
      <w:r>
        <w:rPr>
          <w:rFonts w:ascii="Arial" w:cs="Arial" w:eastAsia="Arial" w:hAnsi="Arial"/>
          <w:sz w:val="18"/>
          <w:szCs w:val="18"/>
          <w:color w:val="auto"/>
        </w:rPr>
        <w:t>Dated: 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10795</wp:posOffset>
            </wp:positionV>
            <wp:extent cx="398589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2020,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280" w:val="left"/>
          <w:tab w:leader="none" w:pos="5840" w:val="left"/>
        </w:tabs>
        <w:rPr>
          <w:sz w:val="20"/>
          <w:szCs w:val="20"/>
          <w:color w:val="auto"/>
        </w:rPr>
      </w:pPr>
      <w:r>
        <w:rPr>
          <w:rFonts w:ascii="Arial" w:cs="Arial" w:eastAsia="Arial" w:hAnsi="Arial"/>
          <w:sz w:val="18"/>
          <w:szCs w:val="18"/>
          <w:color w:val="auto"/>
        </w:rPr>
        <w:t>Dated: April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Bennett Kim</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Financial Officer, Chief Investment Officer and Director (Principal</w:t>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941705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4"/>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
    <w:nsid w:val="B03E0C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59" Type="http://schemas.openxmlformats.org/officeDocument/2006/relationships/hyperlink" Target="http://www.sec.gov/Archives/edgar/data/1719406/000165495420013699/brpa_ex2-1.htm" TargetMode="External"/><Relationship Id="rId60" Type="http://schemas.openxmlformats.org/officeDocument/2006/relationships/hyperlink" Target="http://www.sec.gov/Archives/edgar/data/1719406/000165495421003036/brpa_ex21.htm" TargetMode="External"/><Relationship Id="rId61" Type="http://schemas.openxmlformats.org/officeDocument/2006/relationships/hyperlink" Target="http://www.sec.gov/Archives/edgar/data/1719406/000165495417011010/brpa_ex3-1.htm" TargetMode="External"/><Relationship Id="rId62" Type="http://schemas.openxmlformats.org/officeDocument/2006/relationships/hyperlink" Target="http://www.sec.gov/Archives/edgar/data/1719406/000165495419006479/brpa_ex3-1.htm" TargetMode="External"/><Relationship Id="rId63" Type="http://schemas.openxmlformats.org/officeDocument/2006/relationships/hyperlink" Target="http://www.sec.gov/Archives/edgar/data/1719406/000165495419009963/brpa_ex31.htm" TargetMode="External"/><Relationship Id="rId64" Type="http://schemas.openxmlformats.org/officeDocument/2006/relationships/hyperlink" Target="http://www.sec.gov/Archives/edgar/data/1719406/000165495420003037/brpa_ex31.htm" TargetMode="External"/><Relationship Id="rId65" Type="http://schemas.openxmlformats.org/officeDocument/2006/relationships/hyperlink" Target="http://www.sec.gov/Archives/edgar/data/1719406/000165495420008001/brpa_ex31.htm" TargetMode="External"/><Relationship Id="rId66" Type="http://schemas.openxmlformats.org/officeDocument/2006/relationships/hyperlink" Target="http://www.sec.gov/Archives/edgar/data/1719406/000165495420013751/brpa_ex31.htm" TargetMode="External"/><Relationship Id="rId67" Type="http://schemas.openxmlformats.org/officeDocument/2006/relationships/hyperlink" Target="http://www.sec.gov/Archives/edgar/data/1719406/000165495417011010/brpa_ex3-2.htm" TargetMode="External"/><Relationship Id="rId68" Type="http://schemas.openxmlformats.org/officeDocument/2006/relationships/hyperlink" Target="http://www.sec.gov/Archives/edgar/data/1719406/000165495417010676/brpa_ex41.htm" TargetMode="External"/><Relationship Id="rId69" Type="http://schemas.openxmlformats.org/officeDocument/2006/relationships/hyperlink" Target="http://www.sec.gov/Archives/edgar/data/1719406/000165495417010676/brpa_ex42.htm" TargetMode="External"/><Relationship Id="rId70" Type="http://schemas.openxmlformats.org/officeDocument/2006/relationships/hyperlink" Target="http://www.sec.gov/Archives/edgar/data/1719406/000165495417010676/brpa_ex43.htm" TargetMode="External"/><Relationship Id="rId71" Type="http://schemas.openxmlformats.org/officeDocument/2006/relationships/hyperlink" Target="http://www.sec.gov/Archives/edgar/data/1719406/000165495417010676/brpa_ex44.htm" TargetMode="External"/><Relationship Id="rId72" Type="http://schemas.openxmlformats.org/officeDocument/2006/relationships/hyperlink" Target="http://www.sec.gov/Archives/edgar/data/1719406/000165495417011010/brpa_ex41.htm" TargetMode="External"/><Relationship Id="rId73" Type="http://schemas.openxmlformats.org/officeDocument/2006/relationships/hyperlink" Target="http://www.sec.gov/Archives/edgar/data/1719406/000165495417011010/brpa_ex4-2.htm" TargetMode="External"/><Relationship Id="rId74" Type="http://schemas.openxmlformats.org/officeDocument/2006/relationships/hyperlink" Target="http://www.sec.gov/Archives/edgar/data/1719406/000165495417011010/brpa_ex4-3.htm" TargetMode="External"/><Relationship Id="rId75" Type="http://schemas.openxmlformats.org/officeDocument/2006/relationships/hyperlink" Target="http://www.sec.gov/Archives/edgar/data/1719406/000165495417011010/brpa_ex10-4.htm" TargetMode="External"/><Relationship Id="rId76" Type="http://schemas.openxmlformats.org/officeDocument/2006/relationships/hyperlink" Target="http://www.sec.gov/Archives/edgar/data/1719406/000165495417011010/brpa_ex10-6.htm" TargetMode="External"/><Relationship Id="rId77" Type="http://schemas.openxmlformats.org/officeDocument/2006/relationships/hyperlink" Target="http://www.sec.gov/Archives/edgar/data/1719406/000165495417011010/brpa_ex10-5.htm" TargetMode="External"/><Relationship Id="rId78" Type="http://schemas.openxmlformats.org/officeDocument/2006/relationships/hyperlink" Target="http://www.sec.gov/Archives/edgar/data/1719406/000165495417011010/brpa_ex10-1.htm" TargetMode="External"/><Relationship Id="rId79" Type="http://schemas.openxmlformats.org/officeDocument/2006/relationships/hyperlink" Target="http://www.sec.gov/Archives/edgar/data/1719406/000165495417011010/brpa_ex10-2.htm" TargetMode="External"/><Relationship Id="rId80" Type="http://schemas.openxmlformats.org/officeDocument/2006/relationships/hyperlink" Target="http://www.sec.gov/Archives/edgar/data/1719406/000165495417011010/brpa_ex10-3.htm" TargetMode="External"/><Relationship Id="rId81" Type="http://schemas.openxmlformats.org/officeDocument/2006/relationships/hyperlink" Target="http://www.sec.gov/Archives/edgar/data/1719406/000165495417011010/brpa_ex10-7.htm" TargetMode="External"/><Relationship Id="rId82" Type="http://schemas.openxmlformats.org/officeDocument/2006/relationships/hyperlink" Target="http://www.sec.gov/Archives/edgar/data/1719406/000165495417010676/brpa_ex106.htm" TargetMode="External"/><Relationship Id="rId83" Type="http://schemas.openxmlformats.org/officeDocument/2006/relationships/hyperlink" Target="http://www.sec.gov/Archives/edgar/data/1719406/000165495417011010/brpa_ex10-9.htm" TargetMode="External"/><Relationship Id="rId84" Type="http://schemas.openxmlformats.org/officeDocument/2006/relationships/hyperlink" Target="http://www.sec.gov/Archives/edgar/data/1719406/000165495417010676/brpa_ex107.htm" TargetMode="External"/><Relationship Id="rId85" Type="http://schemas.openxmlformats.org/officeDocument/2006/relationships/hyperlink" Target="http://www.sec.gov/Archives/edgar/data/1719406/000165495417010676/brpa_ex108.htm" TargetMode="External"/><Relationship Id="rId86" Type="http://schemas.openxmlformats.org/officeDocument/2006/relationships/hyperlink" Target="http://www.sec.gov/Archives/edgar/data/1719406/000165495417011010/brpa_ex10-8.htm" TargetMode="External"/><Relationship Id="rId87" Type="http://schemas.openxmlformats.org/officeDocument/2006/relationships/hyperlink" Target="http://www.sec.gov/Archives/edgar/data/1719406/000165495418013053/brpa_ex101.htm" TargetMode="External"/><Relationship Id="rId88" Type="http://schemas.openxmlformats.org/officeDocument/2006/relationships/hyperlink" Target="http://www.sec.gov/Archives/edgar/data/1719406/000165495418013053/brpa_ex102.htm" TargetMode="External"/><Relationship Id="rId89" Type="http://schemas.openxmlformats.org/officeDocument/2006/relationships/hyperlink" Target="http://www.sec.gov/Archives/edgar/data/1719406/000165495418013053/brpa_ex103.htm" TargetMode="External"/><Relationship Id="rId90" Type="http://schemas.openxmlformats.org/officeDocument/2006/relationships/hyperlink" Target="http://www.sec.gov/Archives/edgar/data/1719406/000165495418013053/brpa_ex104.htm" TargetMode="External"/><Relationship Id="rId91" Type="http://schemas.openxmlformats.org/officeDocument/2006/relationships/hyperlink" Target="http://www.sec.gov/Archives/edgar/data/1719406/000165495418013053/brpa_ex105.htm" TargetMode="External"/><Relationship Id="rId92" Type="http://schemas.openxmlformats.org/officeDocument/2006/relationships/hyperlink" Target="http://www.sec.gov/Archives/edgar/data/1719406/000165495419001899/brpa_ex101.htm" TargetMode="External"/><Relationship Id="rId93" Type="http://schemas.openxmlformats.org/officeDocument/2006/relationships/hyperlink" Target="http://www.sec.gov/Archives/edgar/data/1719406/000165495421002748/brpa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2021-04-01T16:36:36Z</dcterms:created>
  <dcterms:modified xsi:type="dcterms:W3CDTF">2021-04-01T16:36:36Z</dcterms:modified>
</cp:coreProperties>
</file>