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200" w:type="dxa"/>
        <w:tblCellMar>
          <w:top w:w="0" w:type="dxa"/>
          <w:left w:w="0" w:type="dxa"/>
          <w:bottom w:w="0" w:type="dxa"/>
          <w:right w:w="0" w:type="dxa"/>
        </w:tblCellMar>
      </w:tblPr>
      <w:tr>
        <w:trPr>
          <w:trHeight w:val="4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6"/>
              </w:rPr>
              <w:t>UNITED STATES</w:t>
            </w:r>
          </w:p>
        </w:tc>
        <w:tc>
          <w:tcPr>
            <w:tcW w:w="40" w:type="dxa"/>
            <w:vAlign w:val="bottom"/>
            <w:tcBorders>
              <w:top w:val="single" w:sz="8" w:color="808080"/>
            </w:tcBorders>
          </w:tcPr>
          <w:p>
            <w:pPr>
              <w:spacing w:after="0"/>
              <w:rPr>
                <w:sz w:val="3"/>
                <w:szCs w:val="3"/>
                <w:color w:val="auto"/>
              </w:rPr>
            </w:pPr>
          </w:p>
        </w:tc>
        <w:tc>
          <w:tcPr>
            <w:tcW w:w="290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940" w:type="dxa"/>
            <w:vAlign w:val="bottom"/>
            <w:gridSpan w:val="3"/>
          </w:tcPr>
          <w:p>
            <w:pPr>
              <w:ind w:left="7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2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8"/>
              </w:rPr>
              <w:t>SECURITIES AND EXCHANGE COMMISSION</w:t>
            </w:r>
          </w:p>
        </w:tc>
        <w:tc>
          <w:tcPr>
            <w:tcW w:w="40" w:type="dxa"/>
            <w:vAlign w:val="bottom"/>
          </w:tcPr>
          <w:p>
            <w:pPr>
              <w:spacing w:after="0" w:line="20" w:lineRule="exact"/>
              <w:rPr>
                <w:sz w:val="1"/>
                <w:szCs w:val="1"/>
                <w:color w:val="auto"/>
              </w:rPr>
            </w:pPr>
          </w:p>
        </w:tc>
        <w:tc>
          <w:tcPr>
            <w:tcW w:w="1740" w:type="dxa"/>
            <w:vAlign w:val="bottom"/>
            <w:tcBorders>
              <w:top w:val="single" w:sz="8" w:color="808080"/>
              <w:bottom w:val="single" w:sz="8" w:color="2C2C2C"/>
            </w:tcBorders>
          </w:tcPr>
          <w:p>
            <w:pPr>
              <w:spacing w:after="0" w:line="20" w:lineRule="exact"/>
              <w:rPr>
                <w:sz w:val="1"/>
                <w:szCs w:val="1"/>
                <w:color w:val="auto"/>
              </w:rPr>
            </w:pPr>
          </w:p>
        </w:tc>
        <w:tc>
          <w:tcPr>
            <w:tcW w:w="11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1160" w:type="dxa"/>
            <w:vAlign w:val="bottom"/>
          </w:tcPr>
          <w:p>
            <w:pPr>
              <w:jc w:val="right"/>
              <w:spacing w:after="0"/>
              <w:rPr>
                <w:sz w:val="20"/>
                <w:szCs w:val="20"/>
                <w:color w:val="auto"/>
              </w:rPr>
            </w:pPr>
            <w:r>
              <w:rPr>
                <w:rFonts w:ascii="Arial" w:cs="Arial" w:eastAsia="Arial" w:hAnsi="Arial"/>
                <w:sz w:val="12"/>
                <w:szCs w:val="12"/>
                <w:color w:val="auto"/>
              </w:rPr>
              <w:t>3235-0080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5840" w:type="dxa"/>
            <w:vAlign w:val="bottom"/>
            <w:vMerge w:val="restart"/>
          </w:tcPr>
          <w:p>
            <w:pPr>
              <w:jc w:val="center"/>
              <w:ind w:right="1139"/>
              <w:spacing w:after="0"/>
              <w:rPr>
                <w:sz w:val="20"/>
                <w:szCs w:val="20"/>
                <w:color w:val="auto"/>
              </w:rPr>
            </w:pPr>
            <w:r>
              <w:rPr>
                <w:rFonts w:ascii="Arial" w:cs="Arial" w:eastAsia="Arial" w:hAnsi="Arial"/>
                <w:sz w:val="18"/>
                <w:szCs w:val="18"/>
                <w:color w:val="auto"/>
                <w:w w:val="97"/>
              </w:rPr>
              <w:t>Washington, D.C. 20549</w:t>
            </w:r>
          </w:p>
        </w:tc>
        <w:tc>
          <w:tcPr>
            <w:tcW w:w="40" w:type="dxa"/>
            <w:vAlign w:val="bottom"/>
          </w:tcPr>
          <w:p>
            <w:pPr>
              <w:spacing w:after="0"/>
              <w:rPr>
                <w:sz w:val="13"/>
                <w:szCs w:val="13"/>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Expires:</w:t>
            </w: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March 31, 2018</w:t>
            </w:r>
          </w:p>
        </w:tc>
        <w:tc>
          <w:tcPr>
            <w:tcW w:w="0" w:type="dxa"/>
            <w:vAlign w:val="bottom"/>
          </w:tcPr>
          <w:p>
            <w:pPr>
              <w:spacing w:after="0"/>
              <w:rPr>
                <w:sz w:val="1"/>
                <w:szCs w:val="1"/>
                <w:color w:val="auto"/>
              </w:rPr>
            </w:pPr>
          </w:p>
        </w:tc>
      </w:tr>
      <w:tr>
        <w:trPr>
          <w:trHeight w:val="139"/>
        </w:trPr>
        <w:tc>
          <w:tcPr>
            <w:tcW w:w="5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740" w:type="dxa"/>
            <w:vAlign w:val="bottom"/>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58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40" w:type="dxa"/>
            <w:vAlign w:val="bottom"/>
            <w:vMerge w:val="continue"/>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rPr>
          <w:sz w:val="24"/>
          <w:szCs w:val="24"/>
          <w:color w:val="auto"/>
        </w:rPr>
        <w:sectPr>
          <w:pgSz w:w="11900" w:h="16838" w:orient="portrait"/>
          <w:cols w:equalWidth="0" w:num="1">
            <w:col w:w="10020"/>
          </w:cols>
          <w:pgMar w:left="920" w:top="268" w:right="959" w:bottom="1440" w:gutter="0" w:footer="0" w:header="0"/>
        </w:sectPr>
      </w:pPr>
      <w:r>
        <w:rPr>
          <w:sz w:val="24"/>
          <w:szCs w:val="24"/>
          <w:color w:val="auto"/>
        </w:rPr>
        <w:drawing>
          <wp:anchor simplePos="0" relativeHeight="251657728" behindDoc="1" locked="0" layoutInCell="0" allowOverlap="1">
            <wp:simplePos x="0" y="0"/>
            <wp:positionH relativeFrom="page">
              <wp:posOffset>6899275</wp:posOffset>
            </wp:positionH>
            <wp:positionV relativeFrom="page">
              <wp:posOffset>170180</wp:posOffset>
            </wp:positionV>
            <wp:extent cx="59690" cy="788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788670"/>
                    </a:xfrm>
                    <a:prstGeom prst="rect">
                      <a:avLst/>
                    </a:prstGeom>
                    <a:noFill/>
                  </pic:spPr>
                </pic:pic>
              </a:graphicData>
            </a:graphic>
          </wp:anchor>
        </w:drawing>
        <w:drawing>
          <wp:anchor simplePos="0" relativeHeight="251657728" behindDoc="1" locked="0" layoutInCell="0" allowOverlap="1">
            <wp:simplePos x="0" y="0"/>
            <wp:positionH relativeFrom="page">
              <wp:posOffset>5047615</wp:posOffset>
            </wp:positionH>
            <wp:positionV relativeFrom="page">
              <wp:posOffset>170180</wp:posOffset>
            </wp:positionV>
            <wp:extent cx="59690" cy="788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788670"/>
                    </a:xfrm>
                    <a:prstGeom prst="rect">
                      <a:avLst/>
                    </a:prstGeom>
                    <a:noFill/>
                  </pic:spPr>
                </pic:pic>
              </a:graphicData>
            </a:graphic>
          </wp:anchor>
        </w:drawing>
      </w:r>
    </w:p>
    <w:p>
      <w:pPr>
        <w:jc w:val="center"/>
        <w:ind w:left="680"/>
        <w:spacing w:after="0"/>
        <w:rPr>
          <w:sz w:val="20"/>
          <w:szCs w:val="20"/>
          <w:color w:val="auto"/>
        </w:rPr>
      </w:pPr>
      <w:r>
        <w:rPr>
          <w:rFonts w:ascii="Arial" w:cs="Arial" w:eastAsia="Arial" w:hAnsi="Arial"/>
          <w:sz w:val="21"/>
          <w:szCs w:val="21"/>
          <w:b w:val="1"/>
          <w:bCs w:val="1"/>
          <w:color w:val="auto"/>
        </w:rPr>
        <w:t>FORM 25</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40" w:type="dxa"/>
            <w:vAlign w:val="bottom"/>
          </w:tcPr>
          <w:p>
            <w:pPr>
              <w:spacing w:after="0"/>
              <w:rPr>
                <w:sz w:val="13"/>
                <w:szCs w:val="13"/>
                <w:color w:val="auto"/>
              </w:rPr>
            </w:pPr>
          </w:p>
        </w:tc>
        <w:tc>
          <w:tcPr>
            <w:tcW w:w="19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1000" w:type="dxa"/>
            <w:vAlign w:val="bottom"/>
          </w:tcPr>
          <w:p>
            <w:pPr>
              <w:jc w:val="right"/>
              <w:spacing w:after="0"/>
              <w:rPr>
                <w:sz w:val="20"/>
                <w:szCs w:val="20"/>
                <w:color w:val="auto"/>
              </w:rPr>
            </w:pPr>
            <w:r>
              <w:rPr>
                <w:rFonts w:ascii="Arial" w:cs="Arial" w:eastAsia="Arial" w:hAnsi="Arial"/>
                <w:sz w:val="12"/>
                <w:szCs w:val="12"/>
                <w:color w:val="auto"/>
              </w:rPr>
              <w:t>1.7</w:t>
            </w:r>
          </w:p>
        </w:tc>
        <w:tc>
          <w:tcPr>
            <w:tcW w:w="40" w:type="dxa"/>
            <w:vAlign w:val="bottom"/>
          </w:tcPr>
          <w:p>
            <w:pPr>
              <w:spacing w:after="0"/>
              <w:rPr>
                <w:sz w:val="13"/>
                <w:szCs w:val="13"/>
                <w:color w:val="auto"/>
              </w:rPr>
            </w:pPr>
          </w:p>
        </w:tc>
      </w:tr>
      <w:tr>
        <w:trPr>
          <w:trHeight w:val="43"/>
        </w:trPr>
        <w:tc>
          <w:tcPr>
            <w:tcW w:w="40" w:type="dxa"/>
            <w:vAlign w:val="bottom"/>
          </w:tcPr>
          <w:p>
            <w:pPr>
              <w:spacing w:after="0"/>
              <w:rPr>
                <w:sz w:val="3"/>
                <w:szCs w:val="3"/>
                <w:color w:val="auto"/>
              </w:rPr>
            </w:pPr>
          </w:p>
        </w:tc>
        <w:tc>
          <w:tcPr>
            <w:tcW w:w="1900" w:type="dxa"/>
            <w:vAlign w:val="bottom"/>
            <w:tcBorders>
              <w:bottom w:val="single" w:sz="8" w:color="808080"/>
            </w:tcBorders>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26" w:lineRule="exact"/>
        <w:rPr>
          <w:sz w:val="24"/>
          <w:szCs w:val="24"/>
          <w:color w:val="auto"/>
        </w:rPr>
      </w:pPr>
    </w:p>
    <w:p>
      <w:pPr>
        <w:sectPr>
          <w:pgSz w:w="11900" w:h="16838" w:orient="portrait"/>
          <w:cols w:equalWidth="0" w:num="2">
            <w:col w:w="6320" w:space="720"/>
            <w:col w:w="2980"/>
          </w:cols>
          <w:pgMar w:left="920" w:top="268" w:right="959" w:bottom="1440" w:gutter="0" w:footer="0" w:header="0"/>
          <w:type w:val="continuous"/>
        </w:sectPr>
      </w:pPr>
    </w:p>
    <w:p>
      <w:pPr>
        <w:ind w:left="1420"/>
        <w:spacing w:after="0"/>
        <w:rPr>
          <w:sz w:val="20"/>
          <w:szCs w:val="20"/>
          <w:color w:val="auto"/>
        </w:rPr>
      </w:pPr>
      <w:r>
        <w:rPr>
          <w:rFonts w:ascii="Arial" w:cs="Arial" w:eastAsia="Arial" w:hAnsi="Arial"/>
          <w:sz w:val="22"/>
          <w:szCs w:val="22"/>
          <w:b w:val="1"/>
          <w:bCs w:val="1"/>
          <w:color w:val="auto"/>
        </w:rPr>
        <w:t>NOTIFICATION OF REMOVAL FROM LISTING AND/OR REGISTRATION</w:t>
      </w:r>
    </w:p>
    <w:p>
      <w:pPr>
        <w:spacing w:after="0" w:line="12" w:lineRule="exact"/>
        <w:rPr>
          <w:sz w:val="24"/>
          <w:szCs w:val="24"/>
          <w:color w:val="auto"/>
        </w:rPr>
      </w:pPr>
    </w:p>
    <w:p>
      <w:pPr>
        <w:ind w:left="1340"/>
        <w:spacing w:after="0"/>
        <w:rPr>
          <w:sz w:val="20"/>
          <w:szCs w:val="20"/>
          <w:color w:val="auto"/>
        </w:rPr>
      </w:pPr>
      <w:r>
        <w:rPr>
          <w:rFonts w:ascii="Arial" w:cs="Arial" w:eastAsia="Arial" w:hAnsi="Arial"/>
          <w:sz w:val="22"/>
          <w:szCs w:val="22"/>
          <w:b w:val="1"/>
          <w:bCs w:val="1"/>
          <w:color w:val="auto"/>
        </w:rPr>
        <w:t>UNDER SECTION 12(b) OF THE SECURITIES EXCHANGE ACT OF 1934.</w:t>
      </w:r>
    </w:p>
    <w:p>
      <w:pPr>
        <w:spacing w:after="0" w:line="23" w:lineRule="exact"/>
        <w:rPr>
          <w:sz w:val="24"/>
          <w:szCs w:val="24"/>
          <w:color w:val="auto"/>
        </w:rPr>
      </w:pPr>
    </w:p>
    <w:p>
      <w:pPr>
        <w:ind w:left="5020"/>
        <w:spacing w:after="0"/>
        <w:rPr>
          <w:rFonts w:ascii="Arial" w:cs="Arial" w:eastAsia="Arial" w:hAnsi="Arial"/>
          <w:sz w:val="18"/>
          <w:szCs w:val="18"/>
          <w:color w:val="auto"/>
        </w:rPr>
      </w:pPr>
      <w:r>
        <w:rPr>
          <w:rFonts w:ascii="Arial" w:cs="Arial" w:eastAsia="Arial" w:hAnsi="Arial"/>
          <w:sz w:val="18"/>
          <w:szCs w:val="18"/>
          <w:color w:val="auto"/>
        </w:rPr>
        <w:t xml:space="preserve">Commission File Number </w:t>
      </w:r>
      <w:hyperlink r:id="rId10">
        <w:r>
          <w:rPr>
            <w:rFonts w:ascii="Times New Roman" w:cs="Times New Roman" w:eastAsia="Times New Roman" w:hAnsi="Times New Roman"/>
            <w:sz w:val="21"/>
            <w:szCs w:val="21"/>
            <w:u w:val="single" w:color="auto"/>
            <w:color w:val="0000EE"/>
          </w:rPr>
          <w:t>001-38302</w:t>
        </w:r>
      </w:hyperlink>
    </w:p>
    <w:p>
      <w:pPr>
        <w:spacing w:after="0" w:line="136" w:lineRule="exact"/>
        <w:rPr>
          <w:sz w:val="24"/>
          <w:szCs w:val="24"/>
          <w:color w:val="auto"/>
        </w:rPr>
      </w:pPr>
    </w:p>
    <w:p>
      <w:pPr>
        <w:ind w:left="3380"/>
        <w:spacing w:after="0"/>
        <w:tabs>
          <w:tab w:leader="none" w:pos="4240" w:val="left"/>
        </w:tabs>
        <w:rPr>
          <w:rFonts w:ascii="Times New Roman" w:cs="Times New Roman" w:eastAsia="Times New Roman" w:hAnsi="Times New Roman"/>
          <w:sz w:val="22"/>
          <w:szCs w:val="22"/>
          <w:u w:val="single" w:color="auto"/>
          <w:color w:val="0000EE"/>
        </w:rPr>
      </w:pPr>
      <w:r>
        <w:rPr>
          <w:rFonts w:ascii="Arial" w:cs="Arial" w:eastAsia="Arial" w:hAnsi="Arial"/>
          <w:sz w:val="18"/>
          <w:szCs w:val="18"/>
          <w:color w:val="auto"/>
        </w:rPr>
        <w:t>Issuer:</w:t>
      </w:r>
      <w:r>
        <w:rPr>
          <w:sz w:val="20"/>
          <w:szCs w:val="20"/>
          <w:color w:val="auto"/>
        </w:rPr>
        <w:tab/>
      </w:r>
      <w:hyperlink r:id="rId11">
        <w:r>
          <w:rPr>
            <w:rFonts w:ascii="Times New Roman" w:cs="Times New Roman" w:eastAsia="Times New Roman" w:hAnsi="Times New Roman"/>
            <w:sz w:val="22"/>
            <w:szCs w:val="22"/>
            <w:u w:val="single" w:color="auto"/>
            <w:color w:val="0000EE"/>
          </w:rPr>
          <w:t>NRX Pharmaceuticals, Inc.</w:t>
        </w:r>
      </w:hyperlink>
    </w:p>
    <w:p>
      <w:pPr>
        <w:spacing w:after="0" w:line="57" w:lineRule="exact"/>
        <w:rPr>
          <w:sz w:val="24"/>
          <w:szCs w:val="24"/>
          <w:color w:val="auto"/>
        </w:rPr>
      </w:pPr>
    </w:p>
    <w:p>
      <w:pPr>
        <w:ind w:left="3380"/>
        <w:spacing w:after="0"/>
        <w:rPr>
          <w:sz w:val="20"/>
          <w:szCs w:val="20"/>
          <w:color w:val="auto"/>
        </w:rPr>
      </w:pPr>
      <w:r>
        <w:rPr>
          <w:rFonts w:ascii="Arial" w:cs="Arial" w:eastAsia="Arial" w:hAnsi="Arial"/>
          <w:sz w:val="18"/>
          <w:szCs w:val="18"/>
          <w:color w:val="auto"/>
        </w:rPr>
        <w:t xml:space="preserve">Exchange: </w:t>
      </w:r>
      <w:r>
        <w:rPr>
          <w:rFonts w:ascii="Times New Roman" w:cs="Times New Roman" w:eastAsia="Times New Roman" w:hAnsi="Times New Roman"/>
          <w:sz w:val="18"/>
          <w:szCs w:val="18"/>
          <w:color w:val="0000FF"/>
        </w:rPr>
        <w:t>Nasdaq Stock Market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48895</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(Exact name of Issuer as specified in its charter, and name of Exchange where security is listed and/or registered)</w:t>
      </w:r>
    </w:p>
    <w:p>
      <w:pPr>
        <w:spacing w:after="0" w:line="91" w:lineRule="exact"/>
        <w:rPr>
          <w:sz w:val="24"/>
          <w:szCs w:val="24"/>
          <w:color w:val="auto"/>
        </w:rPr>
      </w:pPr>
    </w:p>
    <w:p>
      <w:pPr>
        <w:ind w:left="2460"/>
        <w:spacing w:after="0"/>
        <w:tabs>
          <w:tab w:leader="none" w:pos="4000" w:val="left"/>
        </w:tabs>
        <w:rPr>
          <w:sz w:val="20"/>
          <w:szCs w:val="20"/>
          <w:color w:val="auto"/>
        </w:rPr>
      </w:pPr>
      <w:r>
        <w:rPr>
          <w:rFonts w:ascii="Arial" w:cs="Arial" w:eastAsia="Arial" w:hAnsi="Arial"/>
          <w:sz w:val="18"/>
          <w:szCs w:val="18"/>
          <w:color w:val="auto"/>
        </w:rPr>
        <w:t>Address:</w:t>
      </w:r>
      <w:r>
        <w:rPr>
          <w:sz w:val="20"/>
          <w:szCs w:val="20"/>
          <w:color w:val="auto"/>
        </w:rPr>
        <w:tab/>
      </w:r>
      <w:r>
        <w:rPr>
          <w:rFonts w:ascii="Times New Roman" w:cs="Times New Roman" w:eastAsia="Times New Roman" w:hAnsi="Times New Roman"/>
          <w:sz w:val="18"/>
          <w:szCs w:val="18"/>
          <w:color w:val="0000FF"/>
        </w:rPr>
        <w:t>1201 Orange Street</w:t>
      </w:r>
    </w:p>
    <w:p>
      <w:pPr>
        <w:spacing w:after="0" w:line="62"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8"/>
          <w:szCs w:val="18"/>
          <w:color w:val="0000FF"/>
        </w:rPr>
        <w:t>Suite 600</w:t>
      </w:r>
    </w:p>
    <w:p>
      <w:pPr>
        <w:spacing w:after="0" w:line="6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8"/>
          <w:szCs w:val="18"/>
          <w:color w:val="0000FF"/>
        </w:rPr>
        <w:t>Wilmington DELAWARE 19801</w:t>
      </w:r>
    </w:p>
    <w:p>
      <w:pPr>
        <w:spacing w:after="0" w:line="63" w:lineRule="exact"/>
        <w:rPr>
          <w:sz w:val="24"/>
          <w:szCs w:val="24"/>
          <w:color w:val="auto"/>
        </w:rPr>
      </w:pPr>
    </w:p>
    <w:p>
      <w:pPr>
        <w:ind w:left="2460"/>
        <w:spacing w:after="0"/>
        <w:tabs>
          <w:tab w:leader="none" w:pos="6440" w:val="left"/>
        </w:tabs>
        <w:rPr>
          <w:sz w:val="20"/>
          <w:szCs w:val="20"/>
          <w:color w:val="auto"/>
        </w:rPr>
      </w:pPr>
      <w:r>
        <w:rPr>
          <w:rFonts w:ascii="Arial" w:cs="Arial" w:eastAsia="Arial" w:hAnsi="Arial"/>
          <w:sz w:val="18"/>
          <w:szCs w:val="18"/>
          <w:color w:val="auto"/>
        </w:rPr>
        <w:t>Telephone number:</w:t>
      </w:r>
      <w:r>
        <w:rPr>
          <w:sz w:val="20"/>
          <w:szCs w:val="20"/>
          <w:color w:val="auto"/>
        </w:rPr>
        <w:tab/>
      </w:r>
      <w:r>
        <w:rPr>
          <w:rFonts w:ascii="Times New Roman" w:cs="Times New Roman" w:eastAsia="Times New Roman" w:hAnsi="Times New Roman"/>
          <w:sz w:val="16"/>
          <w:szCs w:val="16"/>
          <w:color w:val="0000FF"/>
        </w:rPr>
        <w:t>(484) 254-6134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48895</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1" w:lineRule="exact"/>
        <w:rPr>
          <w:sz w:val="24"/>
          <w:szCs w:val="24"/>
          <w:color w:val="auto"/>
        </w:rPr>
      </w:pPr>
    </w:p>
    <w:p>
      <w:pPr>
        <w:ind w:left="660"/>
        <w:spacing w:after="0"/>
        <w:rPr>
          <w:sz w:val="20"/>
          <w:szCs w:val="20"/>
          <w:color w:val="auto"/>
        </w:rPr>
      </w:pPr>
      <w:r>
        <w:rPr>
          <w:rFonts w:ascii="Arial" w:cs="Arial" w:eastAsia="Arial" w:hAnsi="Arial"/>
          <w:sz w:val="12"/>
          <w:szCs w:val="12"/>
          <w:color w:val="auto"/>
        </w:rPr>
        <w:t>(Address, including zip code, and telephone number, including area code, of Issuer's principal executive offices)</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0000FF"/>
        </w:rPr>
        <w:t>Warrant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23495</wp:posOffset>
            </wp:positionV>
            <wp:extent cx="55378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7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(Description of class of securities)</w:t>
      </w:r>
    </w:p>
    <w:p>
      <w:pPr>
        <w:spacing w:after="0" w:line="93" w:lineRule="exact"/>
        <w:rPr>
          <w:sz w:val="24"/>
          <w:szCs w:val="24"/>
          <w:color w:val="auto"/>
        </w:rPr>
      </w:pPr>
    </w:p>
    <w:p>
      <w:pPr>
        <w:ind w:right="860"/>
        <w:spacing w:after="0" w:line="262" w:lineRule="auto"/>
        <w:rPr>
          <w:sz w:val="20"/>
          <w:szCs w:val="20"/>
          <w:color w:val="auto"/>
        </w:rPr>
      </w:pPr>
      <w:r>
        <w:rPr>
          <w:rFonts w:ascii="Arial" w:cs="Arial" w:eastAsia="Arial" w:hAnsi="Arial"/>
          <w:sz w:val="18"/>
          <w:szCs w:val="18"/>
          <w:color w:val="auto"/>
        </w:rPr>
        <w:t>Please place an X in the box to designate the rule provision relied upon to strike the class of securities from listing and registration:</w:t>
      </w:r>
    </w:p>
    <w:p>
      <w:pPr>
        <w:spacing w:after="0" w:line="20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240.12d2-2(a)(1)</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240.12d2-2(a)(2)</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240.12d2-2(a)(3)</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240.12d2-2(a)(4)</w:t>
      </w:r>
    </w:p>
    <w:p>
      <w:pPr>
        <w:spacing w:after="0" w:line="205" w:lineRule="exact"/>
        <w:rPr>
          <w:sz w:val="24"/>
          <w:szCs w:val="24"/>
          <w:color w:val="auto"/>
        </w:rPr>
      </w:pPr>
    </w:p>
    <w:p>
      <w:pPr>
        <w:ind w:left="780" w:right="1360" w:firstLine="54"/>
        <w:spacing w:after="0" w:line="275" w:lineRule="auto"/>
        <w:rPr>
          <w:sz w:val="20"/>
          <w:szCs w:val="20"/>
          <w:color w:val="auto"/>
        </w:rPr>
      </w:pPr>
      <w:r>
        <w:rPr>
          <w:sz w:val="1"/>
          <w:szCs w:val="1"/>
          <w:color w:val="auto"/>
        </w:rPr>
        <w:drawing>
          <wp:inline distT="0" distB="0" distL="0" distR="0">
            <wp:extent cx="111125"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240.12d2-2(b), the Exchange has complied with its rules to strike the class of securities from listing and/or withdraw registration on the Exchange. </w:t>
      </w:r>
      <w:r>
        <w:rPr>
          <w:rFonts w:ascii="Arial" w:cs="Arial" w:eastAsia="Arial" w:hAnsi="Arial"/>
          <w:sz w:val="29"/>
          <w:szCs w:val="29"/>
          <w:u w:val="single" w:color="auto"/>
          <w:color w:val="0000EE"/>
          <w:vertAlign w:val="superscript"/>
        </w:rPr>
        <w:t>1</w:t>
      </w:r>
    </w:p>
    <w:p>
      <w:pPr>
        <w:spacing w:after="0" w:line="36" w:lineRule="exact"/>
        <w:rPr>
          <w:sz w:val="24"/>
          <w:szCs w:val="24"/>
          <w:color w:val="auto"/>
        </w:rPr>
      </w:pPr>
    </w:p>
    <w:p>
      <w:pPr>
        <w:jc w:val="both"/>
        <w:ind w:left="780" w:right="1260" w:firstLine="54"/>
        <w:spacing w:after="0" w:line="245" w:lineRule="auto"/>
        <w:rPr>
          <w:sz w:val="20"/>
          <w:szCs w:val="20"/>
          <w:color w:val="auto"/>
        </w:rPr>
      </w:pPr>
      <w:r>
        <w:rPr>
          <w:sz w:val="1"/>
          <w:szCs w:val="1"/>
          <w:color w:val="auto"/>
        </w:rPr>
        <w:drawing>
          <wp:inline distT="0" distB="0" distL="0" distR="0">
            <wp:extent cx="111125" cy="1111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69" w:lineRule="exact"/>
        <w:rPr>
          <w:sz w:val="24"/>
          <w:szCs w:val="24"/>
          <w:color w:val="auto"/>
        </w:rPr>
      </w:pPr>
    </w:p>
    <w:p>
      <w:pPr>
        <w:ind w:right="160"/>
        <w:spacing w:after="0" w:line="256" w:lineRule="auto"/>
        <w:rPr>
          <w:sz w:val="20"/>
          <w:szCs w:val="20"/>
          <w:color w:val="auto"/>
        </w:rPr>
      </w:pPr>
      <w:r>
        <w:rPr>
          <w:rFonts w:ascii="Arial" w:cs="Arial" w:eastAsia="Arial" w:hAnsi="Arial"/>
          <w:sz w:val="18"/>
          <w:szCs w:val="18"/>
          <w:color w:val="auto"/>
        </w:rPr>
        <w:t xml:space="preserve">Pursuant to the requirements fo the Securities Exchange Act of 1934, </w:t>
      </w:r>
      <w:r>
        <w:rPr>
          <w:rFonts w:ascii="Times New Roman" w:cs="Times New Roman" w:eastAsia="Times New Roman" w:hAnsi="Times New Roman"/>
          <w:sz w:val="18"/>
          <w:szCs w:val="18"/>
          <w:color w:val="0000FF"/>
        </w:rPr>
        <w:t>Nasdaq Stock Market LLC</w:t>
      </w:r>
      <w:r>
        <w:rPr>
          <w:rFonts w:ascii="Arial" w:cs="Arial" w:eastAsia="Arial" w:hAnsi="Arial"/>
          <w:sz w:val="18"/>
          <w:szCs w:val="18"/>
          <w:color w:val="auto"/>
        </w:rPr>
        <w:t xml:space="preserve"> certifies that it has reasonable grounds to believe that it meets all of the requirements for filing the Form 25 and has caused this notification to be signed on its behalf by the undersigned duly authorized person.</w:t>
      </w:r>
    </w:p>
    <w:p>
      <w:pPr>
        <w:spacing w:after="0" w:line="52" w:lineRule="exact"/>
        <w:rPr>
          <w:sz w:val="24"/>
          <w:szCs w:val="24"/>
          <w:color w:val="auto"/>
        </w:rPr>
      </w:pPr>
    </w:p>
    <w:tbl>
      <w:tblPr>
        <w:tblLayout w:type="fixed"/>
        <w:tblInd w:w="640" w:type="dxa"/>
        <w:tblCellMar>
          <w:top w:w="0" w:type="dxa"/>
          <w:left w:w="0" w:type="dxa"/>
          <w:bottom w:w="0" w:type="dxa"/>
          <w:right w:w="0" w:type="dxa"/>
        </w:tblCellMar>
      </w:tblPr>
      <w:tr>
        <w:trPr>
          <w:trHeight w:val="244"/>
        </w:trPr>
        <w:tc>
          <w:tcPr>
            <w:tcW w:w="20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color w:val="0000FF"/>
              </w:rPr>
              <w:t>2026-05-22</w:t>
            </w:r>
          </w:p>
        </w:tc>
        <w:tc>
          <w:tcPr>
            <w:tcW w:w="940" w:type="dxa"/>
            <w:vAlign w:val="bottom"/>
          </w:tcPr>
          <w:p>
            <w:pPr>
              <w:ind w:left="40"/>
              <w:spacing w:after="0"/>
              <w:rPr>
                <w:sz w:val="20"/>
                <w:szCs w:val="20"/>
                <w:color w:val="auto"/>
              </w:rPr>
            </w:pPr>
            <w:r>
              <w:rPr>
                <w:rFonts w:ascii="Arial" w:cs="Arial" w:eastAsia="Arial" w:hAnsi="Arial"/>
                <w:sz w:val="18"/>
                <w:szCs w:val="18"/>
                <w:color w:val="auto"/>
              </w:rPr>
              <w:t>By</w:t>
            </w:r>
          </w:p>
        </w:tc>
        <w:tc>
          <w:tcPr>
            <w:tcW w:w="340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8"/>
                <w:szCs w:val="18"/>
                <w:color w:val="0000FF"/>
              </w:rPr>
              <w:t>Tara Petta</w:t>
            </w:r>
          </w:p>
        </w:tc>
        <w:tc>
          <w:tcPr>
            <w:tcW w:w="260" w:type="dxa"/>
            <w:vAlign w:val="bottom"/>
          </w:tcPr>
          <w:p>
            <w:pPr>
              <w:spacing w:after="0"/>
              <w:rPr>
                <w:sz w:val="21"/>
                <w:szCs w:val="21"/>
                <w:color w:val="auto"/>
              </w:rPr>
            </w:pPr>
          </w:p>
        </w:tc>
        <w:tc>
          <w:tcPr>
            <w:tcW w:w="208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0000FF"/>
              </w:rPr>
              <w:t>AVP</w:t>
            </w:r>
          </w:p>
        </w:tc>
      </w:tr>
      <w:tr>
        <w:trPr>
          <w:trHeight w:val="252"/>
        </w:trPr>
        <w:tc>
          <w:tcPr>
            <w:tcW w:w="2060" w:type="dxa"/>
            <w:vAlign w:val="bottom"/>
          </w:tcPr>
          <w:p>
            <w:pPr>
              <w:jc w:val="right"/>
              <w:ind w:right="1572"/>
              <w:spacing w:after="0"/>
              <w:rPr>
                <w:sz w:val="20"/>
                <w:szCs w:val="20"/>
                <w:color w:val="auto"/>
              </w:rPr>
            </w:pPr>
            <w:r>
              <w:rPr>
                <w:rFonts w:ascii="Arial" w:cs="Arial" w:eastAsia="Arial" w:hAnsi="Arial"/>
                <w:sz w:val="18"/>
                <w:szCs w:val="18"/>
                <w:color w:val="auto"/>
                <w:w w:val="99"/>
              </w:rPr>
              <w:t>Date</w:t>
            </w:r>
          </w:p>
        </w:tc>
        <w:tc>
          <w:tcPr>
            <w:tcW w:w="940" w:type="dxa"/>
            <w:vAlign w:val="bottom"/>
          </w:tcPr>
          <w:p>
            <w:pPr>
              <w:spacing w:after="0"/>
              <w:rPr>
                <w:sz w:val="21"/>
                <w:szCs w:val="21"/>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Name</w:t>
            </w:r>
          </w:p>
        </w:tc>
        <w:tc>
          <w:tcPr>
            <w:tcW w:w="260" w:type="dxa"/>
            <w:vAlign w:val="bottom"/>
          </w:tcPr>
          <w:p>
            <w:pPr>
              <w:spacing w:after="0"/>
              <w:rPr>
                <w:sz w:val="21"/>
                <w:szCs w:val="21"/>
                <w:color w:val="auto"/>
              </w:rPr>
            </w:pPr>
          </w:p>
        </w:tc>
        <w:tc>
          <w:tcPr>
            <w:tcW w:w="2080" w:type="dxa"/>
            <w:vAlign w:val="bottom"/>
          </w:tcPr>
          <w:p>
            <w:pPr>
              <w:ind w:left="20"/>
              <w:spacing w:after="0"/>
              <w:rPr>
                <w:sz w:val="20"/>
                <w:szCs w:val="20"/>
                <w:color w:val="auto"/>
              </w:rPr>
            </w:pPr>
            <w:r>
              <w:rPr>
                <w:rFonts w:ascii="Arial" w:cs="Arial" w:eastAsia="Arial" w:hAnsi="Arial"/>
                <w:sz w:val="18"/>
                <w:szCs w:val="18"/>
                <w:color w:val="auto"/>
              </w:rPr>
              <w:t>Title</w:t>
            </w:r>
          </w:p>
        </w:tc>
      </w:tr>
    </w:tbl>
    <w:p>
      <w:pPr>
        <w:spacing w:after="0" w:line="107" w:lineRule="exact"/>
        <w:rPr>
          <w:sz w:val="24"/>
          <w:szCs w:val="24"/>
          <w:color w:val="auto"/>
        </w:rPr>
      </w:pPr>
    </w:p>
    <w:p>
      <w:pPr>
        <w:ind w:left="1260" w:right="700" w:hanging="597"/>
        <w:spacing w:after="0" w:line="261" w:lineRule="auto"/>
        <w:tabs>
          <w:tab w:leader="none" w:pos="12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Form 25 and attached Notice will be considered compliance with the provisions of 17 CFR 240.19d-1 as applicable. </w:t>
      </w:r>
      <w:r>
        <w:rPr>
          <w:rFonts w:ascii="Arial" w:cs="Arial" w:eastAsia="Arial" w:hAnsi="Arial"/>
          <w:sz w:val="18"/>
          <w:szCs w:val="18"/>
          <w:u w:val="single" w:color="auto"/>
          <w:color w:val="0000EE"/>
        </w:rPr>
        <w:t>See</w:t>
      </w:r>
      <w:r>
        <w:rPr>
          <w:rFonts w:ascii="Arial" w:cs="Arial" w:eastAsia="Arial" w:hAnsi="Arial"/>
          <w:sz w:val="18"/>
          <w:szCs w:val="18"/>
          <w:color w:val="auto"/>
        </w:rPr>
        <w:t xml:space="preserve"> General Instructions.</w:t>
      </w:r>
    </w:p>
    <w:p>
      <w:pPr>
        <w:spacing w:after="0" w:line="47" w:lineRule="exact"/>
        <w:rPr>
          <w:sz w:val="24"/>
          <w:szCs w:val="24"/>
          <w:color w:val="auto"/>
        </w:rPr>
      </w:pPr>
    </w:p>
    <w:p>
      <w:pPr>
        <w:spacing w:after="0"/>
        <w:rPr>
          <w:sz w:val="20"/>
          <w:szCs w:val="20"/>
          <w:color w:val="auto"/>
        </w:rPr>
      </w:pPr>
      <w:r>
        <w:rPr>
          <w:rFonts w:ascii="Arial" w:cs="Arial" w:eastAsia="Arial" w:hAnsi="Arial"/>
          <w:sz w:val="12"/>
          <w:szCs w:val="1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20" w:top="268" w:right="9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nrxpw-form25</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0" Type="http://schemas.openxmlformats.org/officeDocument/2006/relationships/hyperlink" Target="http://www.sec.gov/cgi-bin/browse-edgar?action=getcompany&amp;CIK=001-38302" TargetMode="External"/><Relationship Id="rId11" Type="http://schemas.openxmlformats.org/officeDocument/2006/relationships/hyperlink" Target="http://www.sec.gov/cgi-bin/browse-edgar?action=getcompany&amp;CIK=000171940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2026-05-22T15:28:02Z</dcterms:created>
  <dcterms:modified xsi:type="dcterms:W3CDTF">2026-05-22T15:28:02Z</dcterms:modified>
</cp:coreProperties>
</file>