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20.jpeg" ContentType="image/jpeg"/>
  <Override PartName="/word/media/image15.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6.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nrxp20260911_8k.htm"/>
      <w:bookmarkStart w:id="1" w:name="ksnrxp20260911_8k"/>
      <w:bookmarkEnd w:id="0"/>
      <w:bookmarkEnd w:id="1"/>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UNITED STATES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SECURITIES AND EXCHANGE COMMISSION</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Washington, D.C. 20549</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FORM 8-K</w:t>
      </w:r>
      <w:r>
        <w:rPr>
          <w:rFonts w:ascii="Times New Roman" w:hAnsi="Times New Roman"/>
          <w:caps w:val="false"/>
          <w:smallCaps w:val="false"/>
          <w:sz w:val="36"/>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CURRENT REPORT</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Pursuant to Section 13 or 15(d)</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of the Securities Exchange Act of 1934</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Date of Report (Date of earliest event reported): September 8, 2026</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5600" w:type="dxa"/>
        <w:jc w:val="left"/>
        <w:tblInd w:w="0" w:type="dxa"/>
        <w:tblLayout w:type="fixed"/>
        <w:tblCellMar>
          <w:top w:w="0" w:type="dxa"/>
          <w:left w:w="0" w:type="dxa"/>
          <w:bottom w:w="0" w:type="dxa"/>
          <w:right w:w="0" w:type="dxa"/>
        </w:tblCellMar>
      </w:tblPr>
      <w:tblGrid>
        <w:gridCol w:w="60"/>
        <w:gridCol w:w="5480"/>
        <w:gridCol w:w="60"/>
      </w:tblGrid>
      <w:tr>
        <w:trPr/>
        <w:tc>
          <w:tcPr>
            <w:tcW w:w="60" w:type="dxa"/>
            <w:tcBorders/>
            <w:vAlign w:val="center"/>
          </w:tcPr>
          <w:p>
            <w:pPr>
              <w:pStyle w:val="TableContents"/>
              <w:bidi w:val="0"/>
              <w:spacing w:before="0" w:after="0"/>
              <w:ind w:left="0" w:right="0" w:hanging="0"/>
              <w:jc w:val="left"/>
              <w:rPr/>
            </w:pPr>
            <w:r>
              <w:rPr/>
              <w:t> </w:t>
            </w:r>
          </w:p>
        </w:tc>
        <w:tc>
          <w:tcPr>
            <w:tcW w:w="548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NRX PHARMACEUTICALS, INC.</w:t>
            </w:r>
          </w:p>
        </w:tc>
        <w:tc>
          <w:tcPr>
            <w:tcW w:w="6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548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(Exact name of registrant as specified in its charter)</w:t>
            </w:r>
          </w:p>
        </w:tc>
        <w:tc>
          <w:tcPr>
            <w:tcW w:w="60"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595" w:type="dxa"/>
        <w:jc w:val="left"/>
        <w:tblInd w:w="0" w:type="dxa"/>
        <w:tblLayout w:type="fixed"/>
        <w:tblCellMar>
          <w:top w:w="0" w:type="dxa"/>
          <w:left w:w="0" w:type="dxa"/>
          <w:bottom w:w="0" w:type="dxa"/>
          <w:right w:w="0" w:type="dxa"/>
        </w:tblCellMar>
      </w:tblPr>
      <w:tblGrid>
        <w:gridCol w:w="60"/>
        <w:gridCol w:w="2255"/>
        <w:gridCol w:w="60"/>
        <w:gridCol w:w="1145"/>
        <w:gridCol w:w="60"/>
        <w:gridCol w:w="1955"/>
        <w:gridCol w:w="60"/>
      </w:tblGrid>
      <w:tr>
        <w:trPr/>
        <w:tc>
          <w:tcPr>
            <w:tcW w:w="60" w:type="dxa"/>
            <w:tcBorders/>
            <w:vAlign w:val="center"/>
          </w:tcPr>
          <w:p>
            <w:pPr>
              <w:pStyle w:val="TableContents"/>
              <w:bidi w:val="0"/>
              <w:spacing w:before="0" w:after="0"/>
              <w:ind w:left="0" w:right="0" w:hanging="0"/>
              <w:jc w:val="left"/>
              <w:rPr/>
            </w:pPr>
            <w:r>
              <w:rPr/>
              <w:t> </w:t>
            </w:r>
          </w:p>
        </w:tc>
        <w:tc>
          <w:tcPr>
            <w:tcW w:w="225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60" w:type="dxa"/>
            <w:tcBorders/>
            <w:vAlign w:val="center"/>
          </w:tcPr>
          <w:p>
            <w:pPr>
              <w:pStyle w:val="TableContents"/>
              <w:bidi w:val="0"/>
              <w:spacing w:before="0" w:after="0"/>
              <w:ind w:left="0" w:right="0" w:hanging="0"/>
              <w:jc w:val="left"/>
              <w:rPr/>
            </w:pPr>
            <w:r>
              <w:rPr/>
              <w:t> </w:t>
            </w:r>
          </w:p>
        </w:tc>
        <w:tc>
          <w:tcPr>
            <w:tcW w:w="114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001-38302</w:t>
            </w:r>
          </w:p>
        </w:tc>
        <w:tc>
          <w:tcPr>
            <w:tcW w:w="60" w:type="dxa"/>
            <w:tcBorders/>
            <w:vAlign w:val="center"/>
          </w:tcPr>
          <w:p>
            <w:pPr>
              <w:pStyle w:val="TableContents"/>
              <w:bidi w:val="0"/>
              <w:spacing w:before="0" w:after="0"/>
              <w:ind w:left="0" w:right="0" w:hanging="0"/>
              <w:jc w:val="left"/>
              <w:rPr/>
            </w:pPr>
            <w:r>
              <w:rPr/>
              <w:t> </w:t>
            </w:r>
          </w:p>
        </w:tc>
        <w:tc>
          <w:tcPr>
            <w:tcW w:w="195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82-2844431</w:t>
            </w:r>
          </w:p>
        </w:tc>
        <w:tc>
          <w:tcPr>
            <w:tcW w:w="6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225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(State or other jurisdiction</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of incorporation)</w:t>
            </w:r>
          </w:p>
        </w:tc>
        <w:tc>
          <w:tcPr>
            <w:tcW w:w="60" w:type="dxa"/>
            <w:tcBorders/>
            <w:vAlign w:val="center"/>
          </w:tcPr>
          <w:p>
            <w:pPr>
              <w:pStyle w:val="TableContents"/>
              <w:bidi w:val="0"/>
              <w:spacing w:before="0" w:after="0"/>
              <w:ind w:left="0" w:right="0" w:hanging="0"/>
              <w:jc w:val="left"/>
              <w:rPr/>
            </w:pPr>
            <w:r>
              <w:rPr/>
              <w:t> </w:t>
            </w:r>
          </w:p>
        </w:tc>
        <w:tc>
          <w:tcPr>
            <w:tcW w:w="114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(Commission</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File Number)</w:t>
            </w:r>
          </w:p>
        </w:tc>
        <w:tc>
          <w:tcPr>
            <w:tcW w:w="60" w:type="dxa"/>
            <w:tcBorders/>
            <w:vAlign w:val="center"/>
          </w:tcPr>
          <w:p>
            <w:pPr>
              <w:pStyle w:val="TableContents"/>
              <w:bidi w:val="0"/>
              <w:spacing w:before="0" w:after="0"/>
              <w:ind w:left="0" w:right="0" w:hanging="0"/>
              <w:jc w:val="left"/>
              <w:rPr/>
            </w:pPr>
            <w:r>
              <w:rPr/>
              <w:t> </w:t>
            </w:r>
          </w:p>
        </w:tc>
        <w:tc>
          <w:tcPr>
            <w:tcW w:w="195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(I.R.S. Employer</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Identification Number)</w:t>
            </w:r>
          </w:p>
        </w:tc>
        <w:tc>
          <w:tcPr>
            <w:tcW w:w="60"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4420" w:type="dxa"/>
        <w:jc w:val="left"/>
        <w:tblInd w:w="0" w:type="dxa"/>
        <w:tblLayout w:type="fixed"/>
        <w:tblCellMar>
          <w:top w:w="0" w:type="dxa"/>
          <w:left w:w="0" w:type="dxa"/>
          <w:bottom w:w="0" w:type="dxa"/>
          <w:right w:w="0" w:type="dxa"/>
        </w:tblCellMar>
      </w:tblPr>
      <w:tblGrid>
        <w:gridCol w:w="60"/>
        <w:gridCol w:w="3275"/>
        <w:gridCol w:w="60"/>
        <w:gridCol w:w="965"/>
        <w:gridCol w:w="60"/>
      </w:tblGrid>
      <w:tr>
        <w:trPr/>
        <w:tc>
          <w:tcPr>
            <w:tcW w:w="60" w:type="dxa"/>
            <w:tcBorders/>
            <w:vAlign w:val="center"/>
          </w:tcPr>
          <w:p>
            <w:pPr>
              <w:pStyle w:val="TableContents"/>
              <w:bidi w:val="0"/>
              <w:spacing w:before="0" w:after="0"/>
              <w:ind w:left="0" w:right="0" w:hanging="0"/>
              <w:jc w:val="left"/>
              <w:rPr/>
            </w:pPr>
            <w:r>
              <w:rPr/>
              <w:t> </w:t>
            </w:r>
          </w:p>
        </w:tc>
        <w:tc>
          <w:tcPr>
            <w:tcW w:w="327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1201 Orange Street, Suite 600</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Wilmington,</w:t>
            </w:r>
            <w:r>
              <w:rPr>
                <w:rFonts w:ascii="Times New Roman" w:hAnsi="Times New Roman"/>
                <w:caps w:val="false"/>
                <w:smallCaps w:val="false"/>
                <w:sz w:val="20"/>
              </w:rPr>
              <w:t> </w:t>
            </w:r>
            <w:r>
              <w:rPr>
                <w:rFonts w:ascii="Times New Roman" w:hAnsi="Times New Roman"/>
                <w:b/>
                <w:caps w:val="false"/>
                <w:smallCaps w:val="false"/>
                <w:sz w:val="20"/>
              </w:rPr>
              <w:t>Delaware</w:t>
            </w:r>
          </w:p>
        </w:tc>
        <w:tc>
          <w:tcPr>
            <w:tcW w:w="60" w:type="dxa"/>
            <w:tcBorders/>
            <w:vAlign w:val="center"/>
          </w:tcPr>
          <w:p>
            <w:pPr>
              <w:pStyle w:val="TableContents"/>
              <w:bidi w:val="0"/>
              <w:spacing w:before="0" w:after="0"/>
              <w:ind w:left="0" w:right="0" w:hanging="0"/>
              <w:jc w:val="left"/>
              <w:rPr/>
            </w:pPr>
            <w:r>
              <w:rPr/>
              <w:t> </w:t>
            </w:r>
          </w:p>
        </w:tc>
        <w:tc>
          <w:tcPr>
            <w:tcW w:w="96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19801</w:t>
            </w:r>
          </w:p>
        </w:tc>
        <w:tc>
          <w:tcPr>
            <w:tcW w:w="6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32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(Address of principal executive offices)</w:t>
            </w:r>
          </w:p>
        </w:tc>
        <w:tc>
          <w:tcPr>
            <w:tcW w:w="60" w:type="dxa"/>
            <w:tcBorders/>
            <w:vAlign w:val="center"/>
          </w:tcPr>
          <w:p>
            <w:pPr>
              <w:pStyle w:val="TableContents"/>
              <w:bidi w:val="0"/>
              <w:spacing w:before="0" w:after="0"/>
              <w:ind w:left="0" w:right="0" w:hanging="0"/>
              <w:jc w:val="left"/>
              <w:rPr/>
            </w:pPr>
            <w:r>
              <w:rPr/>
              <w:t> </w:t>
            </w:r>
          </w:p>
        </w:tc>
        <w:tc>
          <w:tcPr>
            <w:tcW w:w="96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(Zip Code)</w:t>
            </w:r>
            <w:r>
              <w:rPr>
                <w:rFonts w:ascii="Times New Roman" w:hAnsi="Times New Roman"/>
                <w:caps w:val="false"/>
                <w:smallCaps w:val="false"/>
                <w:sz w:val="20"/>
              </w:rPr>
              <w:t> </w:t>
            </w:r>
          </w:p>
        </w:tc>
        <w:tc>
          <w:tcPr>
            <w:tcW w:w="60"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u w:val="single"/>
        </w:rPr>
        <w:t>(484) 254-6134</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(Registrant</w:t>
      </w:r>
      <w:r>
        <w:rPr>
          <w:rFonts w:ascii="Times New Roman" w:hAnsi="Times New Roman"/>
          <w:caps w:val="false"/>
          <w:smallCaps w:val="false"/>
          <w:sz w:val="20"/>
        </w:rPr>
        <w:t>’</w:t>
      </w:r>
      <w:r>
        <w:rPr>
          <w:rFonts w:ascii="Times New Roman" w:hAnsi="Times New Roman"/>
          <w:b/>
          <w:caps w:val="false"/>
          <w:smallCaps w:val="false"/>
          <w:sz w:val="20"/>
        </w:rPr>
        <w:t>s telephone number, including area code)</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u w:val="single"/>
        </w:rPr>
        <w:t>Not applicable</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(Former name or former address, if changed since last report)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9280" w:type="dxa"/>
        <w:jc w:val="left"/>
        <w:tblInd w:w="0" w:type="dxa"/>
        <w:tblLayout w:type="fixed"/>
        <w:tblCellMar>
          <w:top w:w="0" w:type="dxa"/>
          <w:left w:w="0" w:type="dxa"/>
          <w:bottom w:w="0" w:type="dxa"/>
          <w:right w:w="0" w:type="dxa"/>
        </w:tblCellMar>
      </w:tblPr>
      <w:tblGrid>
        <w:gridCol w:w="230"/>
        <w:gridCol w:w="905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Written communications pursuant to Rule 425 under the Securities Act (17 CFR 230.424)</w:t>
            </w:r>
          </w:p>
        </w:tc>
      </w:tr>
      <w:tr>
        <w:trPr/>
        <w:tc>
          <w:tcPr>
            <w:tcW w:w="230" w:type="dxa"/>
            <w:tcBorders/>
            <w:vAlign w:val="center"/>
          </w:tcPr>
          <w:p>
            <w:pPr>
              <w:pStyle w:val="TableContents"/>
              <w:bidi w:val="0"/>
              <w:spacing w:before="0" w:after="0"/>
              <w:ind w:left="0" w:right="0" w:hanging="0"/>
              <w:jc w:val="left"/>
              <w:rPr/>
            </w:pPr>
            <w:r>
              <w:rPr/>
              <w:t> </w:t>
            </w:r>
          </w:p>
        </w:tc>
        <w:tc>
          <w:tcPr>
            <w:tcW w:w="9050" w:type="dxa"/>
            <w:tcBorders/>
            <w:vAlign w:val="center"/>
          </w:tcPr>
          <w:p>
            <w:pPr>
              <w:pStyle w:val="TableContents"/>
              <w:bidi w:val="0"/>
              <w:spacing w:before="0" w:after="0"/>
              <w:ind w:left="0" w:right="0" w:hanging="0"/>
              <w:jc w:val="left"/>
              <w:rPr/>
            </w:pPr>
            <w:r>
              <w:rPr/>
              <w:t> </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Soliciting material pursuant to Rule 14a-12 under the Exchange Act (17 CFR 240.14a-12)</w:t>
            </w:r>
          </w:p>
        </w:tc>
      </w:tr>
      <w:tr>
        <w:trPr/>
        <w:tc>
          <w:tcPr>
            <w:tcW w:w="230" w:type="dxa"/>
            <w:tcBorders/>
            <w:vAlign w:val="center"/>
          </w:tcPr>
          <w:p>
            <w:pPr>
              <w:pStyle w:val="TableContents"/>
              <w:bidi w:val="0"/>
              <w:spacing w:before="0" w:after="0"/>
              <w:ind w:left="0" w:right="0" w:hanging="0"/>
              <w:jc w:val="left"/>
              <w:rPr/>
            </w:pPr>
            <w:r>
              <w:rPr/>
              <w:t> </w:t>
            </w:r>
          </w:p>
        </w:tc>
        <w:tc>
          <w:tcPr>
            <w:tcW w:w="9050" w:type="dxa"/>
            <w:tcBorders/>
            <w:vAlign w:val="center"/>
          </w:tcPr>
          <w:p>
            <w:pPr>
              <w:pStyle w:val="TableContents"/>
              <w:bidi w:val="0"/>
              <w:spacing w:before="0" w:after="0"/>
              <w:ind w:left="0" w:right="0" w:hanging="0"/>
              <w:jc w:val="left"/>
              <w:rPr/>
            </w:pPr>
            <w:r>
              <w:rPr/>
              <w:t> </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14d-2(b) under the Exchange Act (17 CFR 240.14d-2(b))</w:t>
            </w:r>
          </w:p>
        </w:tc>
      </w:tr>
      <w:tr>
        <w:trPr/>
        <w:tc>
          <w:tcPr>
            <w:tcW w:w="230" w:type="dxa"/>
            <w:tcBorders/>
            <w:vAlign w:val="center"/>
          </w:tcPr>
          <w:p>
            <w:pPr>
              <w:pStyle w:val="TableContents"/>
              <w:bidi w:val="0"/>
              <w:spacing w:before="0" w:after="0"/>
              <w:ind w:left="0" w:right="0" w:hanging="0"/>
              <w:jc w:val="left"/>
              <w:rPr/>
            </w:pPr>
            <w:r>
              <w:rPr/>
              <w:t> </w:t>
            </w:r>
          </w:p>
        </w:tc>
        <w:tc>
          <w:tcPr>
            <w:tcW w:w="9050" w:type="dxa"/>
            <w:tcBorders/>
            <w:vAlign w:val="center"/>
          </w:tcPr>
          <w:p>
            <w:pPr>
              <w:pStyle w:val="TableContents"/>
              <w:bidi w:val="0"/>
              <w:spacing w:before="0" w:after="0"/>
              <w:ind w:left="0" w:right="0" w:hanging="0"/>
              <w:jc w:val="left"/>
              <w:rPr/>
            </w:pPr>
            <w:r>
              <w:rPr/>
              <w:t> </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Securities registered pursuant to Section 12(b) of the Act:</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tbl>
      <w:tblPr>
        <w:tblW w:w="8280" w:type="dxa"/>
        <w:jc w:val="left"/>
        <w:tblInd w:w="0" w:type="dxa"/>
        <w:tblLayout w:type="fixed"/>
        <w:tblCellMar>
          <w:top w:w="0" w:type="dxa"/>
          <w:left w:w="0" w:type="dxa"/>
          <w:bottom w:w="0" w:type="dxa"/>
          <w:right w:w="0" w:type="dxa"/>
        </w:tblCellMar>
      </w:tblPr>
      <w:tblGrid>
        <w:gridCol w:w="3485"/>
        <w:gridCol w:w="60"/>
        <w:gridCol w:w="1415"/>
        <w:gridCol w:w="60"/>
        <w:gridCol w:w="3260"/>
      </w:tblGrid>
      <w:tr>
        <w:trPr/>
        <w:tc>
          <w:tcPr>
            <w:tcW w:w="348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60" w:type="dxa"/>
            <w:tcBorders/>
            <w:vAlign w:val="center"/>
          </w:tcPr>
          <w:p>
            <w:pPr>
              <w:pStyle w:val="TableContents"/>
              <w:bidi w:val="0"/>
              <w:spacing w:before="0" w:after="0"/>
              <w:ind w:left="0" w:right="0" w:hanging="0"/>
              <w:jc w:val="left"/>
              <w:rPr/>
            </w:pPr>
            <w:r>
              <w:rPr/>
              <w:t> </w:t>
            </w:r>
          </w:p>
        </w:tc>
        <w:tc>
          <w:tcPr>
            <w:tcW w:w="141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Trading Symbol</w:t>
            </w:r>
          </w:p>
        </w:tc>
        <w:tc>
          <w:tcPr>
            <w:tcW w:w="60" w:type="dxa"/>
            <w:tcBorders/>
            <w:vAlign w:val="center"/>
          </w:tcPr>
          <w:p>
            <w:pPr>
              <w:pStyle w:val="TableContents"/>
              <w:bidi w:val="0"/>
              <w:spacing w:before="0" w:after="0"/>
              <w:ind w:left="0" w:right="0" w:hanging="0"/>
              <w:jc w:val="left"/>
              <w:rPr/>
            </w:pPr>
            <w:r>
              <w:rPr/>
              <w:t> </w:t>
            </w:r>
          </w:p>
        </w:tc>
        <w:tc>
          <w:tcPr>
            <w:tcW w:w="326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Name of exchange on which registered</w:t>
            </w:r>
          </w:p>
        </w:tc>
      </w:tr>
      <w:tr>
        <w:trPr/>
        <w:tc>
          <w:tcPr>
            <w:tcW w:w="348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41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3260" w:type="dxa"/>
            <w:tcBorders/>
            <w:vAlign w:val="center"/>
          </w:tcPr>
          <w:p>
            <w:pPr>
              <w:pStyle w:val="TableContents"/>
              <w:bidi w:val="0"/>
              <w:spacing w:before="0" w:after="0"/>
              <w:ind w:left="0" w:right="0" w:hanging="0"/>
              <w:jc w:val="left"/>
              <w:rPr/>
            </w:pPr>
            <w:r>
              <w:rPr/>
              <w:t> </w:t>
            </w:r>
          </w:p>
        </w:tc>
      </w:tr>
      <w:tr>
        <w:trPr/>
        <w:tc>
          <w:tcPr>
            <w:tcW w:w="34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Common Stock, par value $0.001 per share</w:t>
            </w:r>
          </w:p>
        </w:tc>
        <w:tc>
          <w:tcPr>
            <w:tcW w:w="60" w:type="dxa"/>
            <w:tcBorders/>
            <w:vAlign w:val="center"/>
          </w:tcPr>
          <w:p>
            <w:pPr>
              <w:pStyle w:val="TableContents"/>
              <w:bidi w:val="0"/>
              <w:spacing w:before="0" w:after="0"/>
              <w:ind w:left="0" w:right="0" w:hanging="0"/>
              <w:jc w:val="left"/>
              <w:rPr/>
            </w:pPr>
            <w:r>
              <w:rPr/>
              <w:t> </w:t>
            </w:r>
          </w:p>
        </w:tc>
        <w:tc>
          <w:tcPr>
            <w:tcW w:w="14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NRXP</w:t>
            </w:r>
          </w:p>
        </w:tc>
        <w:tc>
          <w:tcPr>
            <w:tcW w:w="60" w:type="dxa"/>
            <w:tcBorders/>
            <w:vAlign w:val="center"/>
          </w:tcPr>
          <w:p>
            <w:pPr>
              <w:pStyle w:val="TableContents"/>
              <w:bidi w:val="0"/>
              <w:spacing w:before="0" w:after="0"/>
              <w:ind w:left="0" w:right="0" w:hanging="0"/>
              <w:jc w:val="left"/>
              <w:rPr/>
            </w:pPr>
            <w:r>
              <w:rPr/>
              <w:t> </w:t>
            </w:r>
          </w:p>
        </w:tc>
        <w:tc>
          <w:tcPr>
            <w:tcW w:w="32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Nasdaq Stock Market LLC</w:t>
            </w:r>
          </w:p>
        </w:tc>
      </w:tr>
      <w:tr>
        <w:trPr/>
        <w:tc>
          <w:tcPr>
            <w:tcW w:w="348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41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3260"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Emerging growth company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Item 7.01 Regulation FD Disclosure.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September 8, 2026, representatives of NRx Pharmaceuticals, Inc. (the “Company”) used the investor presentation furnished as Exhibit 99.1 to this Current Report on Form 8-K in connection with presentations and meetings with investors and other persons. The Company may continue to use the investor presentation, in whole or in part, and possibly with modifications, in connection with presentations to investors, analysts and other persons.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information contained in this Item 7.01, including Exhibit 99.1, is being furnished and shall not be deemed “filed” for purposes of Section 18 of the Securities Exchange Act of 1934, as amended, or otherwise subject to the liabilities of that section, nor shall it be deemed incorporated by reference into any filing of the Company under the Securities Act of 1933, as amended, or the Securities Exchange Act of 1934, as amended, except as expressly set forth by specific reference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Item 9.01. Financial Statements and Exhibits.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9670" w:type="dxa"/>
        <w:jc w:val="left"/>
        <w:tblInd w:w="0" w:type="dxa"/>
        <w:tblLayout w:type="fixed"/>
        <w:tblCellMar>
          <w:top w:w="0" w:type="dxa"/>
          <w:left w:w="0" w:type="dxa"/>
          <w:bottom w:w="28" w:type="dxa"/>
          <w:right w:w="0" w:type="dxa"/>
        </w:tblCellMar>
      </w:tblPr>
      <w:tblGrid>
        <w:gridCol w:w="650"/>
        <w:gridCol w:w="60"/>
        <w:gridCol w:w="8960"/>
      </w:tblGrid>
      <w:tr>
        <w:trPr/>
        <w:tc>
          <w:tcPr>
            <w:tcW w:w="650"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Exhibit</w:t>
            </w:r>
          </w:p>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w:t>
            </w:r>
          </w:p>
        </w:tc>
        <w:tc>
          <w:tcPr>
            <w:tcW w:w="60" w:type="dxa"/>
            <w:tcBorders/>
            <w:tcMar>
              <w:bottom w:w="0" w:type="dxa"/>
            </w:tcMar>
            <w:vAlign w:val="center"/>
          </w:tcPr>
          <w:p>
            <w:pPr>
              <w:pStyle w:val="TableContents"/>
              <w:bidi w:val="0"/>
              <w:spacing w:before="0" w:after="0"/>
              <w:ind w:left="0" w:right="0" w:hanging="0"/>
              <w:jc w:val="left"/>
              <w:rPr/>
            </w:pPr>
            <w:r>
              <w:rPr/>
              <w:t> </w:t>
            </w:r>
          </w:p>
        </w:tc>
        <w:tc>
          <w:tcPr>
            <w:tcW w:w="8960"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Description</w:t>
            </w:r>
          </w:p>
        </w:tc>
      </w:tr>
      <w:tr>
        <w:trPr/>
        <w:tc>
          <w:tcPr>
            <w:tcW w:w="650"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8960" w:type="dxa"/>
            <w:tcBorders/>
            <w:tcMar>
              <w:bottom w:w="0" w:type="dxa"/>
            </w:tcMar>
            <w:vAlign w:val="center"/>
          </w:tcPr>
          <w:p>
            <w:pPr>
              <w:pStyle w:val="TableContents"/>
              <w:bidi w:val="0"/>
              <w:spacing w:before="0" w:after="0"/>
              <w:ind w:left="0" w:right="0" w:hanging="0"/>
              <w:jc w:val="left"/>
              <w:rPr/>
            </w:pPr>
            <w:r>
              <w:rPr/>
              <w:t> </w:t>
            </w:r>
          </w:p>
        </w:tc>
      </w:tr>
      <w:tr>
        <w:trPr/>
        <w:tc>
          <w:tcPr>
            <w:tcW w:w="65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99.1</w:t>
            </w:r>
          </w:p>
        </w:tc>
        <w:tc>
          <w:tcPr>
            <w:tcW w:w="60" w:type="dxa"/>
            <w:tcBorders/>
            <w:tcMar>
              <w:bottom w:w="0" w:type="dxa"/>
            </w:tcMar>
            <w:vAlign w:val="center"/>
          </w:tcPr>
          <w:p>
            <w:pPr>
              <w:pStyle w:val="TableContents"/>
              <w:bidi w:val="0"/>
              <w:spacing w:before="0" w:after="0"/>
              <w:ind w:left="0" w:right="0" w:hanging="0"/>
              <w:jc w:val="left"/>
              <w:rPr/>
            </w:pPr>
            <w:r>
              <w:rPr/>
              <w:t> </w:t>
            </w:r>
          </w:p>
        </w:tc>
        <w:tc>
          <w:tcPr>
            <w:tcW w:w="8960" w:type="dxa"/>
            <w:tcBorders/>
            <w:tcMar>
              <w:bottom w:w="0" w:type="dxa"/>
            </w:tcMar>
            <w:vAlign w:val="center"/>
          </w:tcPr>
          <w:p>
            <w:pPr>
              <w:pStyle w:val="TableContents"/>
              <w:bidi w:val="0"/>
              <w:spacing w:before="0" w:after="0"/>
              <w:ind w:left="0" w:right="0" w:hanging="0"/>
              <w:jc w:val="left"/>
              <w:rPr/>
            </w:pPr>
            <w:hyperlink w:anchor="ex_1015703_source.htm">
              <w:r>
                <w:rPr>
                  <w:rStyle w:val="InternetLink"/>
                  <w:rFonts w:ascii="Times New Roman" w:hAnsi="Times New Roman"/>
                  <w:caps w:val="false"/>
                  <w:smallCaps w:val="false"/>
                  <w:sz w:val="20"/>
                </w:rPr>
                <w:t>Investor Presentation</w:t>
              </w:r>
            </w:hyperlink>
          </w:p>
        </w:tc>
      </w:tr>
      <w:tr>
        <w:trPr/>
        <w:tc>
          <w:tcPr>
            <w:tcW w:w="65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tcMar>
              <w:bottom w:w="0" w:type="dxa"/>
            </w:tcMar>
            <w:vAlign w:val="center"/>
          </w:tcPr>
          <w:p>
            <w:pPr>
              <w:pStyle w:val="TableContents"/>
              <w:bidi w:val="0"/>
              <w:spacing w:before="0" w:after="0"/>
              <w:ind w:left="0" w:right="0" w:hanging="0"/>
              <w:jc w:val="left"/>
              <w:rPr/>
            </w:pPr>
            <w:r>
              <w:rPr/>
              <w:t> </w:t>
            </w:r>
          </w:p>
        </w:tc>
        <w:tc>
          <w:tcPr>
            <w:tcW w:w="896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 the cover page XBRL tags are embedded within the Inline XBRL document.</w:t>
            </w:r>
          </w:p>
        </w:tc>
      </w:tr>
    </w:tbl>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SIGNATURES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665" w:type="dxa"/>
        <w:jc w:val="left"/>
        <w:tblInd w:w="0" w:type="dxa"/>
        <w:tblLayout w:type="fixed"/>
        <w:tblCellMar>
          <w:top w:w="0" w:type="dxa"/>
          <w:left w:w="0" w:type="dxa"/>
          <w:bottom w:w="0" w:type="dxa"/>
          <w:right w:w="0" w:type="dxa"/>
        </w:tblCellMar>
      </w:tblPr>
      <w:tblGrid>
        <w:gridCol w:w="2120"/>
        <w:gridCol w:w="545"/>
        <w:gridCol w:w="1940"/>
        <w:gridCol w:w="60"/>
      </w:tblGrid>
      <w:tr>
        <w:trPr/>
        <w:tc>
          <w:tcPr>
            <w:tcW w:w="2120" w:type="dxa"/>
            <w:tcBorders/>
            <w:vAlign w:val="center"/>
          </w:tcPr>
          <w:p>
            <w:pPr>
              <w:pStyle w:val="TableContents"/>
              <w:bidi w:val="0"/>
              <w:spacing w:before="0" w:after="0"/>
              <w:ind w:left="0" w:right="0" w:hanging="0"/>
              <w:jc w:val="left"/>
              <w:rPr/>
            </w:pPr>
            <w:r>
              <w:rPr/>
              <w:t> </w:t>
            </w:r>
          </w:p>
        </w:tc>
        <w:tc>
          <w:tcPr>
            <w:tcW w:w="2485"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NRx Pharmaceuticals, Inc.</w:t>
            </w:r>
          </w:p>
        </w:tc>
        <w:tc>
          <w:tcPr>
            <w:tcW w:w="60" w:type="dxa"/>
            <w:tcBorders/>
            <w:vAlign w:val="center"/>
          </w:tcPr>
          <w:p>
            <w:pPr>
              <w:pStyle w:val="TableContents"/>
              <w:bidi w:val="0"/>
              <w:spacing w:before="0" w:after="0"/>
              <w:ind w:left="0" w:right="0" w:hanging="0"/>
              <w:jc w:val="left"/>
              <w:rPr/>
            </w:pPr>
            <w:r>
              <w:rPr/>
              <w:t> </w:t>
            </w:r>
          </w:p>
        </w:tc>
      </w:tr>
      <w:tr>
        <w:trPr/>
        <w:tc>
          <w:tcPr>
            <w:tcW w:w="2120" w:type="dxa"/>
            <w:tcBorders/>
            <w:vAlign w:val="center"/>
          </w:tcPr>
          <w:p>
            <w:pPr>
              <w:pStyle w:val="TableContents"/>
              <w:bidi w:val="0"/>
              <w:spacing w:before="0" w:after="0"/>
              <w:ind w:left="0" w:right="0" w:hanging="0"/>
              <w:jc w:val="left"/>
              <w:rPr/>
            </w:pPr>
            <w:r>
              <w:rPr/>
              <w:t> </w:t>
            </w:r>
          </w:p>
        </w:tc>
        <w:tc>
          <w:tcPr>
            <w:tcW w:w="545" w:type="dxa"/>
            <w:tcBorders/>
            <w:vAlign w:val="center"/>
          </w:tcPr>
          <w:p>
            <w:pPr>
              <w:pStyle w:val="TableContents"/>
              <w:bidi w:val="0"/>
              <w:spacing w:before="0" w:after="0"/>
              <w:ind w:left="0" w:right="0" w:hanging="0"/>
              <w:jc w:val="left"/>
              <w:rPr/>
            </w:pPr>
            <w:r>
              <w:rPr/>
              <w:t> </w:t>
            </w:r>
          </w:p>
        </w:tc>
        <w:tc>
          <w:tcPr>
            <w:tcW w:w="194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r>
      <w:tr>
        <w:trPr/>
        <w:tc>
          <w:tcPr>
            <w:tcW w:w="21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September 14, 2026</w:t>
            </w:r>
          </w:p>
        </w:tc>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194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/s/ </w:t>
            </w:r>
            <w:r>
              <w:rPr>
                <w:rFonts w:ascii="Times New Roman" w:hAnsi="Times New Roman"/>
                <w:i/>
                <w:caps w:val="false"/>
                <w:smallCaps w:val="false"/>
                <w:sz w:val="20"/>
              </w:rPr>
              <w:t>Jonathan Javitt</w:t>
            </w:r>
          </w:p>
        </w:tc>
        <w:tc>
          <w:tcPr>
            <w:tcW w:w="60" w:type="dxa"/>
            <w:tcBorders/>
            <w:vAlign w:val="center"/>
          </w:tcPr>
          <w:p>
            <w:pPr>
              <w:pStyle w:val="TableContents"/>
              <w:bidi w:val="0"/>
              <w:spacing w:before="0" w:after="0"/>
              <w:ind w:left="0" w:right="0" w:hanging="0"/>
              <w:jc w:val="left"/>
              <w:rPr/>
            </w:pPr>
            <w:r>
              <w:rPr/>
              <w:t> </w:t>
            </w:r>
          </w:p>
        </w:tc>
      </w:tr>
      <w:tr>
        <w:trPr/>
        <w:tc>
          <w:tcPr>
            <w:tcW w:w="2120" w:type="dxa"/>
            <w:tcBorders/>
            <w:vAlign w:val="center"/>
          </w:tcPr>
          <w:p>
            <w:pPr>
              <w:pStyle w:val="TableContents"/>
              <w:bidi w:val="0"/>
              <w:spacing w:before="0" w:after="0"/>
              <w:ind w:left="0" w:right="0" w:hanging="0"/>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w:t>
            </w:r>
          </w:p>
        </w:tc>
        <w:tc>
          <w:tcPr>
            <w:tcW w:w="19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Jonathan Javitt</w:t>
            </w:r>
          </w:p>
        </w:tc>
        <w:tc>
          <w:tcPr>
            <w:tcW w:w="60" w:type="dxa"/>
            <w:tcBorders/>
            <w:vAlign w:val="center"/>
          </w:tcPr>
          <w:p>
            <w:pPr>
              <w:pStyle w:val="TableContents"/>
              <w:bidi w:val="0"/>
              <w:spacing w:before="0" w:after="0"/>
              <w:ind w:left="0" w:right="0" w:hanging="0"/>
              <w:jc w:val="left"/>
              <w:rPr/>
            </w:pPr>
            <w:r>
              <w:rPr/>
              <w:t> </w:t>
            </w:r>
          </w:p>
        </w:tc>
      </w:tr>
      <w:tr>
        <w:trPr/>
        <w:tc>
          <w:tcPr>
            <w:tcW w:w="2120" w:type="dxa"/>
            <w:tcBorders/>
            <w:vAlign w:val="center"/>
          </w:tcPr>
          <w:p>
            <w:pPr>
              <w:pStyle w:val="TableContents"/>
              <w:bidi w:val="0"/>
              <w:spacing w:before="0" w:after="0"/>
              <w:ind w:left="0" w:right="0" w:hanging="0"/>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Its:</w:t>
            </w:r>
          </w:p>
        </w:tc>
        <w:tc>
          <w:tcPr>
            <w:tcW w:w="19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w:t>
            </w:r>
          </w:p>
        </w:tc>
        <w:tc>
          <w:tcPr>
            <w:tcW w:w="60" w:type="dxa"/>
            <w:tcBorders/>
            <w:vAlign w:val="center"/>
          </w:tcPr>
          <w:p>
            <w:pPr>
              <w:pStyle w:val="TableContents"/>
              <w:bidi w:val="0"/>
              <w:spacing w:before="0" w:after="0"/>
              <w:ind w:left="0" w:right="0" w:hanging="0"/>
              <w:jc w:val="left"/>
              <w:rPr/>
            </w:pPr>
            <w:r>
              <w:rPr/>
              <w:t> </w:t>
            </w:r>
          </w:p>
        </w:tc>
      </w:tr>
    </w:tbl>
    <w:p>
      <w:pPr>
        <w:pStyle w:val="TextBody"/>
        <w:bidi w:val="0"/>
        <w:ind w:left="0" w:right="0" w:hanging="0"/>
        <w:jc w:val="left"/>
        <w:rPr>
          <w:caps w:val="false"/>
          <w:smallCaps w:val="false"/>
        </w:rPr>
      </w:pPr>
      <w:r>
        <w:rPr>
          <w:caps w:val="false"/>
          <w:smallCaps w:val="false"/>
        </w:rPr>
        <w:t> </w:t>
      </w:r>
    </w:p>
    <w:p>
      <w:pPr>
        <w:pStyle w:val="TextBody"/>
        <w:bidi w:val="0"/>
        <w:spacing w:before="0" w:after="0"/>
        <w:jc w:val="right"/>
        <w:rPr>
          <w:rFonts w:ascii="Times New Roman" w:hAnsi="Times New Roman"/>
          <w:sz w:val="20"/>
        </w:rPr>
      </w:pPr>
      <w:bookmarkStart w:id="2" w:name="ex_1015703_source.htm"/>
      <w:bookmarkStart w:id="3" w:name="ksex_1015703_source"/>
      <w:bookmarkEnd w:id="2"/>
      <w:bookmarkEnd w:id="3"/>
      <w:r>
        <w:rPr>
          <w:rFonts w:ascii="Times New Roman;Times;serif" w:hAnsi="Times New Roman;Times;serif"/>
          <w:b/>
          <w:sz w:val="20"/>
        </w:rPr>
        <w:t>Exhibit 99.1</w:t>
      </w:r>
      <w:r>
        <w:rPr>
          <w:rFonts w:ascii="Times New Roman" w:hAnsi="Times New Roman"/>
          <w:sz w:val="20"/>
        </w:rPr>
        <w:t xml:space="preserve"> </w:t>
      </w:r>
      <w:r>
        <w:br w:type="page"/>
      </w:r>
    </w:p>
    <w:p>
      <w:pPr>
        <w:pStyle w:val="TextBody"/>
        <w:bidi w:val="0"/>
        <w:spacing w:before="0" w:after="0"/>
        <w:jc w:val="left"/>
        <w:rPr/>
      </w:pPr>
      <w:r>
        <w:rPr/>
        <w:t> </w:t>
      </w:r>
    </w:p>
    <w:p>
      <w:pPr>
        <w:pStyle w:val="TextBody"/>
        <w:bidi w:val="0"/>
        <w:spacing w:before="0" w:after="0"/>
        <w:ind w:left="0" w:right="0" w:hanging="0"/>
        <w:jc w:val="center"/>
        <w:rPr/>
      </w:pPr>
      <w:r>
        <w:rPr/>
        <w:drawing>
          <wp:inline distT="0" distB="0" distL="0" distR="0">
            <wp:extent cx="2438400" cy="171894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38400" cy="1718945"/>
                    </a:xfrm>
                    <a:prstGeom prst="rect">
                      <a:avLst/>
                    </a:prstGeom>
                  </pic:spPr>
                </pic:pic>
              </a:graphicData>
            </a:graphic>
          </wp:inline>
        </w:drawing>
      </w:r>
      <w:r>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drawing>
          <wp:inline distT="0" distB="0" distL="0" distR="0">
            <wp:extent cx="2438400" cy="171894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438400" cy="1718945"/>
                    </a:xfrm>
                    <a:prstGeom prst="rect">
                      <a:avLst/>
                    </a:prstGeom>
                  </pic:spPr>
                </pic:pic>
              </a:graphicData>
            </a:graphic>
          </wp:inline>
        </w:drawing>
      </w:r>
      <w:r>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drawing>
          <wp:inline distT="0" distB="0" distL="0" distR="0">
            <wp:extent cx="3933190" cy="277241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3933190" cy="2772410"/>
                    </a:xfrm>
                    <a:prstGeom prst="rect">
                      <a:avLst/>
                    </a:prstGeom>
                  </pic:spPr>
                </pic:pic>
              </a:graphicData>
            </a:graphic>
          </wp:inline>
        </w:drawing>
      </w:r>
      <w:r>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drawing>
          <wp:inline distT="0" distB="0" distL="0" distR="0">
            <wp:extent cx="4041775" cy="284924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041775" cy="2849245"/>
                    </a:xfrm>
                    <a:prstGeom prst="rect">
                      <a:avLst/>
                    </a:prstGeom>
                  </pic:spPr>
                </pic:pic>
              </a:graphicData>
            </a:graphic>
          </wp:inline>
        </w:drawing>
      </w:r>
      <w:r>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drawing>
          <wp:inline distT="0" distB="0" distL="0" distR="0">
            <wp:extent cx="3933190" cy="277241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3933190" cy="2772410"/>
                    </a:xfrm>
                    <a:prstGeom prst="rect">
                      <a:avLst/>
                    </a:prstGeom>
                  </pic:spPr>
                </pic:pic>
              </a:graphicData>
            </a:graphic>
          </wp:inline>
        </w:drawing>
      </w:r>
      <w:r>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drawing>
          <wp:inline distT="0" distB="0" distL="0" distR="0">
            <wp:extent cx="3933190" cy="277241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3933190" cy="2772410"/>
                    </a:xfrm>
                    <a:prstGeom prst="rect">
                      <a:avLst/>
                    </a:prstGeom>
                  </pic:spPr>
                </pic:pic>
              </a:graphicData>
            </a:graphic>
          </wp:inline>
        </w:drawing>
      </w:r>
      <w:r>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drawing>
          <wp:inline distT="0" distB="0" distL="0" distR="0">
            <wp:extent cx="3933190" cy="277241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3933190" cy="2772410"/>
                    </a:xfrm>
                    <a:prstGeom prst="rect">
                      <a:avLst/>
                    </a:prstGeom>
                  </pic:spPr>
                </pic:pic>
              </a:graphicData>
            </a:graphic>
          </wp:inline>
        </w:drawing>
      </w:r>
      <w:r>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drawing>
          <wp:inline distT="0" distB="0" distL="0" distR="0">
            <wp:extent cx="3933190" cy="277241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3933190" cy="2772410"/>
                    </a:xfrm>
                    <a:prstGeom prst="rect">
                      <a:avLst/>
                    </a:prstGeom>
                  </pic:spPr>
                </pic:pic>
              </a:graphicData>
            </a:graphic>
          </wp:inline>
        </w:drawing>
      </w:r>
      <w:r>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drawing>
          <wp:inline distT="0" distB="0" distL="0" distR="0">
            <wp:extent cx="3621405" cy="255333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3621405" cy="2553335"/>
                    </a:xfrm>
                    <a:prstGeom prst="rect">
                      <a:avLst/>
                    </a:prstGeom>
                  </pic:spPr>
                </pic:pic>
              </a:graphicData>
            </a:graphic>
          </wp:inline>
        </w:drawing>
      </w:r>
      <w:r>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drawing>
          <wp:inline distT="0" distB="0" distL="0" distR="0">
            <wp:extent cx="3933190" cy="277241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3933190" cy="2772410"/>
                    </a:xfrm>
                    <a:prstGeom prst="rect">
                      <a:avLst/>
                    </a:prstGeom>
                  </pic:spPr>
                </pic:pic>
              </a:graphicData>
            </a:graphic>
          </wp:inline>
        </w:drawing>
      </w:r>
      <w:r>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drawing>
          <wp:inline distT="0" distB="0" distL="0" distR="0">
            <wp:extent cx="3933190" cy="277241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3933190" cy="2772410"/>
                    </a:xfrm>
                    <a:prstGeom prst="rect">
                      <a:avLst/>
                    </a:prstGeom>
                  </pic:spPr>
                </pic:pic>
              </a:graphicData>
            </a:graphic>
          </wp:inline>
        </w:drawing>
      </w:r>
      <w:r>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drawing>
          <wp:inline distT="0" distB="0" distL="0" distR="0">
            <wp:extent cx="4041775" cy="284924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4041775" cy="2849245"/>
                    </a:xfrm>
                    <a:prstGeom prst="rect">
                      <a:avLst/>
                    </a:prstGeom>
                  </pic:spPr>
                </pic:pic>
              </a:graphicData>
            </a:graphic>
          </wp:inline>
        </w:drawing>
      </w:r>
      <w:r>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drawing>
          <wp:inline distT="0" distB="0" distL="0" distR="0">
            <wp:extent cx="3621405" cy="255333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3621405" cy="2553335"/>
                    </a:xfrm>
                    <a:prstGeom prst="rect">
                      <a:avLst/>
                    </a:prstGeom>
                  </pic:spPr>
                </pic:pic>
              </a:graphicData>
            </a:graphic>
          </wp:inline>
        </w:drawing>
      </w:r>
      <w:r>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drawing>
          <wp:inline distT="0" distB="0" distL="0" distR="0">
            <wp:extent cx="3621405" cy="255333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3621405" cy="2553335"/>
                    </a:xfrm>
                    <a:prstGeom prst="rect">
                      <a:avLst/>
                    </a:prstGeom>
                  </pic:spPr>
                </pic:pic>
              </a:graphicData>
            </a:graphic>
          </wp:inline>
        </w:drawing>
      </w:r>
      <w:r>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drawing>
          <wp:inline distT="0" distB="0" distL="0" distR="0">
            <wp:extent cx="3933190" cy="277241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3933190" cy="2772410"/>
                    </a:xfrm>
                    <a:prstGeom prst="rect">
                      <a:avLst/>
                    </a:prstGeom>
                  </pic:spPr>
                </pic:pic>
              </a:graphicData>
            </a:graphic>
          </wp:inline>
        </w:drawing>
      </w:r>
      <w:r>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drawing>
          <wp:inline distT="0" distB="0" distL="0" distR="0">
            <wp:extent cx="3933190" cy="277241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3933190" cy="2772410"/>
                    </a:xfrm>
                    <a:prstGeom prst="rect">
                      <a:avLst/>
                    </a:prstGeom>
                  </pic:spPr>
                </pic:pic>
              </a:graphicData>
            </a:graphic>
          </wp:inline>
        </w:drawing>
      </w:r>
      <w:r>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drawing>
          <wp:inline distT="0" distB="0" distL="0" distR="0">
            <wp:extent cx="3933190" cy="277241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3933190" cy="2772410"/>
                    </a:xfrm>
                    <a:prstGeom prst="rect">
                      <a:avLst/>
                    </a:prstGeom>
                  </pic:spPr>
                </pic:pic>
              </a:graphicData>
            </a:graphic>
          </wp:inline>
        </w:drawing>
      </w:r>
      <w:r>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drawing>
          <wp:inline distT="0" distB="0" distL="0" distR="0">
            <wp:extent cx="3933190" cy="277241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3933190" cy="2772410"/>
                    </a:xfrm>
                    <a:prstGeom prst="rect">
                      <a:avLst/>
                    </a:prstGeom>
                  </pic:spPr>
                </pic:pic>
              </a:graphicData>
            </a:graphic>
          </wp:inline>
        </w:drawing>
      </w:r>
      <w:r>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drawing>
          <wp:inline distT="0" distB="0" distL="0" distR="0">
            <wp:extent cx="3933190" cy="277241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3933190" cy="2772410"/>
                    </a:xfrm>
                    <a:prstGeom prst="rect">
                      <a:avLst/>
                    </a:prstGeom>
                  </pic:spPr>
                </pic:pic>
              </a:graphicData>
            </a:graphic>
          </wp:inline>
        </w:drawing>
      </w:r>
      <w:r>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drawing>
          <wp:inline distT="0" distB="0" distL="0" distR="0">
            <wp:extent cx="1219200" cy="85979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219200" cy="859790"/>
                    </a:xfrm>
                    <a:prstGeom prst="rect">
                      <a:avLst/>
                    </a:prstGeom>
                  </pic:spPr>
                </pic:pic>
              </a:graphicData>
            </a:graphic>
          </wp:inline>
        </w:drawing>
      </w:r>
      <w:r>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544</Words>
  <Characters>3010</Characters>
  <CharactersWithSpaces>3608</CharactersWithSpaces>
  <Paragraphs>173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