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74"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2</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NRX Pharmaceuticals,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 par value $0.001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Anson Funds Management LP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ind w:left="1120" w:hanging="1112"/>
        <w:spacing w:after="0" w:line="184" w:lineRule="auto"/>
        <w:tabs>
          <w:tab w:leader="none" w:pos="1120" w:val="left"/>
        </w:tabs>
        <w:numPr>
          <w:ilvl w:val="0"/>
          <w:numId w:val="3"/>
        </w:numPr>
        <w:rPr>
          <w:rFonts w:ascii="Times New Roman" w:cs="Times New Roman" w:eastAsia="Times New Roman" w:hAnsi="Times New Roman"/>
          <w:sz w:val="37"/>
          <w:szCs w:val="37"/>
          <w:color w:val="auto"/>
          <w:vertAlign w:val="subscript"/>
        </w:rPr>
      </w:pPr>
      <w:r>
        <w:rPr>
          <w:rFonts w:ascii="Times New Roman" w:cs="Times New Roman" w:eastAsia="Times New Roman" w:hAnsi="Times New Roman"/>
          <w:sz w:val="19"/>
          <w:szCs w:val="19"/>
          <w:color w:val="auto"/>
        </w:rPr>
        <w:t>Citizenship or Place of Organization</w:t>
      </w:r>
    </w:p>
    <w:p>
      <w:pPr>
        <w:spacing w:after="0" w:line="258" w:lineRule="exact"/>
        <w:rPr>
          <w:sz w:val="24"/>
          <w:szCs w:val="24"/>
          <w:color w:val="auto"/>
        </w:rPr>
      </w:pPr>
    </w:p>
    <w:p>
      <w:pPr>
        <w:spacing w:after="0"/>
        <w:tabs>
          <w:tab w:leader="none" w:pos="1140" w:val="left"/>
        </w:tabs>
        <w:rPr>
          <w:sz w:val="20"/>
          <w:szCs w:val="20"/>
          <w:color w:val="auto"/>
        </w:rPr>
      </w:pPr>
      <w:r>
        <w:rPr>
          <w:rFonts w:ascii="Times New Roman" w:cs="Times New Roman" w:eastAsia="Times New Roman" w:hAnsi="Times New Roman"/>
          <w:sz w:val="43"/>
          <w:szCs w:val="43"/>
          <w:color w:val="auto"/>
          <w:vertAlign w:val="superscript"/>
        </w:rPr>
        <w:t>Number of</w:t>
      </w:r>
      <w:r>
        <w:rPr>
          <w:rFonts w:ascii="Times New Roman" w:cs="Times New Roman" w:eastAsia="Times New Roman" w:hAnsi="Times New Roman"/>
          <w:sz w:val="22"/>
          <w:szCs w:val="22"/>
          <w:color w:val="auto"/>
        </w:rPr>
        <w:tab/>
        <w:t>5 Sole Voting Power</w:t>
      </w:r>
    </w:p>
    <w:p>
      <w:pPr>
        <w:sectPr>
          <w:pgSz w:w="11900" w:h="16912" w:orient="portrait"/>
          <w:cols w:equalWidth="0" w:num="1">
            <w:col w:w="10099"/>
          </w:cols>
          <w:pgMar w:left="360" w:top="866" w:right="1440" w:bottom="0" w:gutter="0" w:footer="0" w:header="0"/>
        </w:sectPr>
      </w:pPr>
    </w:p>
    <w:bookmarkStart w:id="1" w:name="page2"/>
    <w:bookmarkEnd w:id="1"/>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4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1,736,737.00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1,736,737.00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1,736,737.00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4.9 %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321" w:lineRule="exact"/>
        <w:rPr>
          <w:sz w:val="20"/>
          <w:szCs w:val="20"/>
          <w:color w:val="auto"/>
        </w:rPr>
      </w:pPr>
    </w:p>
    <w:p>
      <w:pPr>
        <w:sectPr>
          <w:pgSz w:w="11900" w:h="16860"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Anson Management GP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60" w:orient="portrait"/>
          <w:cols w:equalWidth="0" w:num="1">
            <w:col w:w="10099"/>
          </w:cols>
          <w:pgMar w:left="360" w:top="111"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328"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1,736,737.00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1,736,737.00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1,736,737.00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4.9 %</w:t>
      </w:r>
    </w:p>
    <w:p>
      <w:pPr>
        <w:sectPr>
          <w:pgSz w:w="11900" w:h="16860" w:orient="portrait"/>
          <w:cols w:equalWidth="0" w:num="2">
            <w:col w:w="1060" w:space="60"/>
            <w:col w:w="8979"/>
          </w:cols>
          <w:pgMar w:left="360" w:top="111" w:right="1440" w:bottom="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82"/>
        </w:trPr>
        <w:tc>
          <w:tcPr>
            <w:tcW w:w="680" w:type="dxa"/>
            <w:vAlign w:val="bottom"/>
            <w:vMerge w:val="restart"/>
          </w:tcPr>
          <w:p>
            <w:pPr>
              <w:jc w:val="right"/>
              <w:ind w:right="352"/>
              <w:spacing w:after="0"/>
              <w:rPr>
                <w:sz w:val="20"/>
                <w:szCs w:val="20"/>
                <w:color w:val="auto"/>
              </w:rPr>
            </w:pPr>
            <w:r>
              <w:rPr>
                <w:rFonts w:ascii="Times New Roman" w:cs="Times New Roman" w:eastAsia="Times New Roman" w:hAnsi="Times New Roman"/>
                <w:sz w:val="22"/>
                <w:szCs w:val="22"/>
                <w:color w:val="auto"/>
                <w:w w:val="90"/>
              </w:rPr>
              <w:t>12</w:t>
            </w:r>
          </w:p>
        </w:tc>
        <w:tc>
          <w:tcPr>
            <w:tcW w:w="4260" w:type="dxa"/>
            <w:vAlign w:val="bottom"/>
          </w:tcPr>
          <w:p>
            <w:pPr>
              <w:ind w:left="440"/>
              <w:spacing w:after="0"/>
              <w:rPr>
                <w:sz w:val="20"/>
                <w:szCs w:val="20"/>
                <w:color w:val="auto"/>
              </w:rPr>
            </w:pPr>
            <w:r>
              <w:rPr>
                <w:rFonts w:ascii="Times New Roman" w:cs="Times New Roman" w:eastAsia="Times New Roman" w:hAnsi="Times New Roman"/>
                <w:sz w:val="22"/>
                <w:szCs w:val="22"/>
                <w:color w:val="auto"/>
                <w:w w:val="97"/>
              </w:rPr>
              <w:t>Type of Reporting Person (See Instructions)</w:t>
            </w:r>
          </w:p>
        </w:tc>
        <w:tc>
          <w:tcPr>
            <w:tcW w:w="0" w:type="dxa"/>
            <w:vAlign w:val="bottom"/>
          </w:tcPr>
          <w:p>
            <w:pPr>
              <w:spacing w:after="0"/>
              <w:rPr>
                <w:sz w:val="1"/>
                <w:szCs w:val="1"/>
                <w:color w:val="auto"/>
              </w:rPr>
            </w:pPr>
          </w:p>
        </w:tc>
      </w:tr>
      <w:tr>
        <w:trPr>
          <w:trHeight w:val="122"/>
        </w:trPr>
        <w:tc>
          <w:tcPr>
            <w:tcW w:w="680" w:type="dxa"/>
            <w:vAlign w:val="bottom"/>
            <w:vMerge w:val="continue"/>
          </w:tcPr>
          <w:p>
            <w:pPr>
              <w:spacing w:after="0"/>
              <w:rPr>
                <w:sz w:val="10"/>
                <w:szCs w:val="10"/>
                <w:color w:val="auto"/>
              </w:rPr>
            </w:pPr>
          </w:p>
        </w:tc>
        <w:tc>
          <w:tcPr>
            <w:tcW w:w="42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Tony Moore</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26"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328"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1,736,737.00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1,736,737.00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1,736,737.00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4.9 %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321" w:lineRule="exact"/>
        <w:rPr>
          <w:sz w:val="20"/>
          <w:szCs w:val="20"/>
          <w:color w:val="auto"/>
        </w:rPr>
      </w:pPr>
    </w:p>
    <w:p>
      <w:pPr>
        <w:sectPr>
          <w:pgSz w:w="11900" w:h="16838" w:orient="portrait"/>
          <w:cols w:equalWidth="0" w:num="2">
            <w:col w:w="1060" w:space="60"/>
            <w:col w:w="8979"/>
          </w:cols>
          <w:pgMar w:left="360" w:top="126"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Anson Advisors Inc.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20" w:hanging="1112"/>
        <w:spacing w:after="0"/>
        <w:tabs>
          <w:tab w:leader="none" w:pos="1120" w:val="left"/>
        </w:tabs>
        <w:numPr>
          <w:ilvl w:val="0"/>
          <w:numId w:val="4"/>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20" w:hanging="1112"/>
        <w:spacing w:after="0"/>
        <w:tabs>
          <w:tab w:leader="none" w:pos="11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ind w:left="1120" w:hanging="1112"/>
        <w:spacing w:after="0" w:line="184" w:lineRule="auto"/>
        <w:tabs>
          <w:tab w:leader="none" w:pos="1120" w:val="left"/>
        </w:tabs>
        <w:numPr>
          <w:ilvl w:val="0"/>
          <w:numId w:val="6"/>
        </w:numPr>
        <w:rPr>
          <w:rFonts w:ascii="Times New Roman" w:cs="Times New Roman" w:eastAsia="Times New Roman" w:hAnsi="Times New Roman"/>
          <w:sz w:val="37"/>
          <w:szCs w:val="37"/>
          <w:color w:val="auto"/>
          <w:vertAlign w:val="subscript"/>
        </w:rPr>
      </w:pPr>
      <w:r>
        <w:rPr>
          <w:rFonts w:ascii="Times New Roman" w:cs="Times New Roman" w:eastAsia="Times New Roman" w:hAnsi="Times New Roman"/>
          <w:sz w:val="19"/>
          <w:szCs w:val="19"/>
          <w:color w:val="auto"/>
        </w:rPr>
        <w:t>Citizenship or Place of Organization</w:t>
      </w:r>
    </w:p>
    <w:p>
      <w:pPr>
        <w:sectPr>
          <w:pgSz w:w="11900" w:h="16838" w:orient="portrait"/>
          <w:cols w:equalWidth="0" w:num="1">
            <w:col w:w="10099"/>
          </w:cols>
          <w:pgMar w:left="360" w:top="126" w:right="1440" w:bottom="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7079" w:hanging="231"/>
        <w:spacing w:after="0" w:line="371" w:lineRule="auto"/>
        <w:tabs>
          <w:tab w:leader="none" w:pos="28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Voting Power 0.00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1,736,737.00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1,736,737.00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1,736,737.00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4.9 %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321" w:lineRule="exact"/>
        <w:rPr>
          <w:sz w:val="20"/>
          <w:szCs w:val="20"/>
          <w:color w:val="auto"/>
        </w:rPr>
      </w:pPr>
    </w:p>
    <w:p>
      <w:pPr>
        <w:sectPr>
          <w:pgSz w:w="11900" w:h="16838" w:orient="portrait"/>
          <w:cols w:equalWidth="0" w:num="2">
            <w:col w:w="1060" w:space="60"/>
            <w:col w:w="8979"/>
          </w:cols>
          <w:pgMar w:left="360" w:top="112"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Amin Nathoo</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2"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328"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1,736,737.00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1,736,737.00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1,736,737.00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ectPr>
          <w:pgSz w:w="11900" w:h="16838" w:orient="portrait"/>
          <w:cols w:equalWidth="0" w:num="2">
            <w:col w:w="1060" w:space="60"/>
            <w:col w:w="8979"/>
          </w:cols>
          <w:pgMar w:left="360" w:top="112" w:right="1440" w:bottom="0" w:gutter="0" w:footer="0" w:header="0"/>
          <w:type w:val="continuous"/>
        </w:sectPr>
      </w:pPr>
    </w:p>
    <w:bookmarkStart w:id="4" w:name="page5"/>
    <w:bookmarkEnd w:id="4"/>
    <w:tbl>
      <w:tblPr>
        <w:tblLayout w:type="fixed"/>
        <w:tblInd w:w="0" w:type="dxa"/>
        <w:tblCellMar>
          <w:top w:w="0" w:type="dxa"/>
          <w:left w:w="0" w:type="dxa"/>
          <w:bottom w:w="0" w:type="dxa"/>
          <w:right w:w="0" w:type="dxa"/>
        </w:tblCellMar>
      </w:tblPr>
      <w:tr>
        <w:trPr>
          <w:trHeight w:val="283"/>
        </w:trPr>
        <w:tc>
          <w:tcPr>
            <w:tcW w:w="680" w:type="dxa"/>
            <w:vAlign w:val="bottom"/>
          </w:tcPr>
          <w:p>
            <w:pPr>
              <w:spacing w:after="0"/>
              <w:rPr>
                <w:sz w:val="24"/>
                <w:szCs w:val="24"/>
                <w:color w:val="auto"/>
              </w:rPr>
            </w:pPr>
          </w:p>
        </w:tc>
        <w:tc>
          <w:tcPr>
            <w:tcW w:w="4260" w:type="dxa"/>
            <w:vAlign w:val="bottom"/>
          </w:tcPr>
          <w:p>
            <w:pPr>
              <w:ind w:left="440"/>
              <w:spacing w:after="0"/>
              <w:rPr>
                <w:sz w:val="20"/>
                <w:szCs w:val="20"/>
                <w:color w:val="auto"/>
              </w:rPr>
            </w:pPr>
            <w:r>
              <w:rPr>
                <w:rFonts w:ascii="Times New Roman" w:cs="Times New Roman" w:eastAsia="Times New Roman" w:hAnsi="Times New Roman"/>
                <w:sz w:val="22"/>
                <w:szCs w:val="22"/>
                <w:color w:val="auto"/>
              </w:rPr>
              <w:t>4.9 %</w:t>
            </w:r>
          </w:p>
        </w:tc>
        <w:tc>
          <w:tcPr>
            <w:tcW w:w="0" w:type="dxa"/>
            <w:vAlign w:val="bottom"/>
          </w:tcPr>
          <w:p>
            <w:pPr>
              <w:spacing w:after="0"/>
              <w:rPr>
                <w:sz w:val="1"/>
                <w:szCs w:val="1"/>
                <w:color w:val="auto"/>
              </w:rPr>
            </w:pPr>
          </w:p>
        </w:tc>
      </w:tr>
      <w:tr>
        <w:trPr>
          <w:trHeight w:val="297"/>
        </w:trPr>
        <w:tc>
          <w:tcPr>
            <w:tcW w:w="680" w:type="dxa"/>
            <w:vAlign w:val="bottom"/>
            <w:vMerge w:val="restart"/>
          </w:tcPr>
          <w:p>
            <w:pPr>
              <w:jc w:val="right"/>
              <w:ind w:right="352"/>
              <w:spacing w:after="0"/>
              <w:rPr>
                <w:sz w:val="20"/>
                <w:szCs w:val="20"/>
                <w:color w:val="auto"/>
              </w:rPr>
            </w:pPr>
            <w:r>
              <w:rPr>
                <w:rFonts w:ascii="Times New Roman" w:cs="Times New Roman" w:eastAsia="Times New Roman" w:hAnsi="Times New Roman"/>
                <w:sz w:val="22"/>
                <w:szCs w:val="22"/>
                <w:color w:val="auto"/>
                <w:w w:val="90"/>
              </w:rPr>
              <w:t>12</w:t>
            </w:r>
          </w:p>
        </w:tc>
        <w:tc>
          <w:tcPr>
            <w:tcW w:w="4260" w:type="dxa"/>
            <w:vAlign w:val="bottom"/>
          </w:tcPr>
          <w:p>
            <w:pPr>
              <w:ind w:left="440"/>
              <w:spacing w:after="0"/>
              <w:rPr>
                <w:sz w:val="20"/>
                <w:szCs w:val="20"/>
                <w:color w:val="auto"/>
              </w:rPr>
            </w:pPr>
            <w:r>
              <w:rPr>
                <w:rFonts w:ascii="Times New Roman" w:cs="Times New Roman" w:eastAsia="Times New Roman" w:hAnsi="Times New Roman"/>
                <w:sz w:val="22"/>
                <w:szCs w:val="22"/>
                <w:color w:val="auto"/>
                <w:w w:val="97"/>
              </w:rPr>
              <w:t>Type of Reporting Person (See Instructions)</w:t>
            </w:r>
          </w:p>
        </w:tc>
        <w:tc>
          <w:tcPr>
            <w:tcW w:w="0" w:type="dxa"/>
            <w:vAlign w:val="bottom"/>
          </w:tcPr>
          <w:p>
            <w:pPr>
              <w:spacing w:after="0"/>
              <w:rPr>
                <w:sz w:val="1"/>
                <w:szCs w:val="1"/>
                <w:color w:val="auto"/>
              </w:rPr>
            </w:pPr>
          </w:p>
        </w:tc>
      </w:tr>
      <w:tr>
        <w:trPr>
          <w:trHeight w:val="121"/>
        </w:trPr>
        <w:tc>
          <w:tcPr>
            <w:tcW w:w="680" w:type="dxa"/>
            <w:vAlign w:val="bottom"/>
            <w:vMerge w:val="continue"/>
          </w:tcPr>
          <w:p>
            <w:pPr>
              <w:spacing w:after="0"/>
              <w:rPr>
                <w:sz w:val="10"/>
                <w:szCs w:val="10"/>
                <w:color w:val="auto"/>
              </w:rPr>
            </w:pPr>
          </w:p>
        </w:tc>
        <w:tc>
          <w:tcPr>
            <w:tcW w:w="42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Moez Kassam</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580"/>
          </w:cols>
          <w:pgMar w:left="360" w:top="112" w:right="959"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328"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1,736,737.00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1,736,737.00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1,736,737.00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4.9 %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321" w:lineRule="exact"/>
        <w:rPr>
          <w:sz w:val="20"/>
          <w:szCs w:val="20"/>
          <w:color w:val="auto"/>
        </w:rPr>
      </w:pPr>
    </w:p>
    <w:p>
      <w:pPr>
        <w:sectPr>
          <w:pgSz w:w="11900" w:h="16838" w:orient="portrait"/>
          <w:cols w:equalWidth="0" w:num="2">
            <w:col w:w="1060" w:space="60"/>
            <w:col w:w="9460"/>
          </w:cols>
          <w:pgMar w:left="360" w:top="112" w:right="959"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5"/>
          <w:szCs w:val="25"/>
          <w:color w:val="auto"/>
        </w:rPr>
        <w:t>SCHEDULE 13G</w:t>
      </w:r>
    </w:p>
    <w:p>
      <w:pPr>
        <w:sectPr>
          <w:pgSz w:w="11900" w:h="16838" w:orient="portrait"/>
          <w:cols w:equalWidth="0" w:num="1">
            <w:col w:w="10580"/>
          </w:cols>
          <w:pgMar w:left="360" w:top="112" w:right="959" w:bottom="0" w:gutter="0" w:footer="0" w:header="0"/>
          <w:type w:val="continuous"/>
        </w:sect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2.</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NRX Pharmaceuticals,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1201 Orange Street, Suite 600 Wilmington, DE 19801</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Anson Funds Management LP, Anson Management GP LLC, Mr. Tony Moore, Anson Advisors Inc., Mr. Amin Nathoo and Mr. Moez Kassam</w:t>
      </w:r>
    </w:p>
    <w:p>
      <w:pPr>
        <w:sectPr>
          <w:pgSz w:w="11900" w:h="16838" w:orient="portrait"/>
          <w:cols w:equalWidth="0" w:num="2">
            <w:col w:w="620" w:space="300"/>
            <w:col w:w="9660"/>
          </w:cols>
          <w:pgMar w:left="360" w:top="112" w:right="959" w:bottom="0" w:gutter="0" w:footer="0" w:header="0"/>
          <w:type w:val="continuous"/>
        </w:sectPr>
      </w:pPr>
    </w:p>
    <w:bookmarkStart w:id="5" w:name="page6"/>
    <w:bookmarkEnd w:id="5"/>
    <w:p>
      <w:pPr>
        <w:spacing w:after="0" w:line="22" w:lineRule="exact"/>
        <w:rPr>
          <w:sz w:val="20"/>
          <w:szCs w:val="20"/>
          <w:color w:val="auto"/>
        </w:rPr>
      </w:pPr>
    </w:p>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For Anson Funds Management LP, Anson Management GP LLC and Mr. Moore: 16000 Dallas Parkway, Suite 800</w:t>
      </w:r>
    </w:p>
    <w:p>
      <w:pPr>
        <w:spacing w:after="0" w:line="25" w:lineRule="exact"/>
        <w:rPr>
          <w:rFonts w:ascii="Times New Roman" w:cs="Times New Roman" w:eastAsia="Times New Roman" w:hAnsi="Times New Roman"/>
          <w:sz w:val="22"/>
          <w:szCs w:val="22"/>
          <w:color w:val="auto"/>
        </w:rPr>
      </w:pPr>
    </w:p>
    <w:p>
      <w:pPr>
        <w:ind w:left="920" w:right="100"/>
        <w:spacing w:after="0" w:line="237"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Dallas, Texas 75248 For Anson Advisors Inc., Mr. Nathoo and Mr. Kassam: 181 Bay Street, Suite 4200 Toronto, ON M5J 2T3</w:t>
      </w:r>
    </w:p>
    <w:p>
      <w:pPr>
        <w:spacing w:after="0" w:line="16"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Citizenship:</w:t>
      </w:r>
    </w:p>
    <w:p>
      <w:pPr>
        <w:spacing w:after="0" w:line="233" w:lineRule="exact"/>
        <w:rPr>
          <w:rFonts w:ascii="Times New Roman" w:cs="Times New Roman" w:eastAsia="Times New Roman" w:hAnsi="Times New Roman"/>
          <w:sz w:val="22"/>
          <w:szCs w:val="22"/>
          <w:color w:val="auto"/>
        </w:rPr>
      </w:pPr>
    </w:p>
    <w:p>
      <w:pPr>
        <w:ind w:left="920" w:right="100" w:hanging="912"/>
        <w:spacing w:after="0" w:line="193" w:lineRule="auto"/>
        <w:tabs>
          <w:tab w:leader="none" w:pos="920" w:val="left"/>
        </w:tabs>
        <w:numPr>
          <w:ilvl w:val="0"/>
          <w:numId w:val="8"/>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Anson Funds Management LP is a limited partnership organized under the laws of the State of Texas. Anson Management GP LLC is a limited liability company organized under the laws of the State of Texas. Mr. Moore is a United States citizen. Anson Advisors Inc. is a corporation organized under the laws of Ontario, Canada. Mr. Nathoo and Mr. Kassam are each Canadian citizens.</w:t>
      </w:r>
    </w:p>
    <w:p>
      <w:pPr>
        <w:sectPr>
          <w:pgSz w:w="11900" w:h="16860" w:orient="portrait"/>
          <w:cols w:equalWidth="0" w:num="1">
            <w:col w:w="11120"/>
          </w:cols>
          <w:pgMar w:left="360" w:top="111" w:right="419" w:bottom="0" w:gutter="0" w:footer="0" w:header="0"/>
        </w:sect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 par value $0.001 per share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1"/>
          <w:szCs w:val="21"/>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-144145</wp:posOffset>
            </wp:positionV>
            <wp:extent cx="128905" cy="1289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4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right="660"/>
        <w:spacing w:after="0" w:line="258" w:lineRule="auto"/>
        <w:rPr>
          <w:sz w:val="20"/>
          <w:szCs w:val="20"/>
          <w:color w:val="auto"/>
        </w:rPr>
      </w:pPr>
      <w:r>
        <w:rPr>
          <w:sz w:val="1"/>
          <w:szCs w:val="1"/>
          <w:color w:val="auto"/>
        </w:rPr>
        <w:drawing>
          <wp:inline distT="0" distB="0" distL="0" distR="0">
            <wp:extent cx="128905" cy="128905"/>
            <wp:effectExtent l="0" t="0" r="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1000"/>
        <w:spacing w:after="0" w:line="241" w:lineRule="auto"/>
        <w:rPr>
          <w:sz w:val="20"/>
          <w:szCs w:val="20"/>
          <w:color w:val="auto"/>
        </w:rPr>
      </w:pPr>
      <w:r>
        <w:rPr>
          <w:sz w:val="1"/>
          <w:szCs w:val="1"/>
          <w:color w:val="auto"/>
        </w:rPr>
        <w:drawing>
          <wp:inline distT="0" distB="0" distL="0" distR="0">
            <wp:extent cx="128905" cy="128905"/>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sectPr>
          <w:pgSz w:w="11900" w:h="16860" w:orient="portrait"/>
          <w:cols w:equalWidth="0" w:num="2">
            <w:col w:w="620" w:space="300"/>
            <w:col w:w="10200"/>
          </w:cols>
          <w:pgMar w:left="360" w:top="111" w:right="419" w:bottom="0" w:gutter="0" w:footer="0" w:header="0"/>
          <w:type w:val="continuous"/>
        </w:sectPr>
      </w:pPr>
    </w:p>
    <w:p>
      <w:pPr>
        <w:ind w:left="920" w:right="5020" w:hanging="912"/>
        <w:spacing w:after="0" w:line="281" w:lineRule="auto"/>
        <w:tabs>
          <w:tab w:leader="none" w:pos="9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 Canadian Investment Advisor</w:t>
      </w:r>
    </w:p>
    <w:p>
      <w:pPr>
        <w:spacing w:after="0" w:line="2"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ind w:left="920"/>
        <w:spacing w:after="0" w:line="245" w:lineRule="auto"/>
        <w:rPr>
          <w:sz w:val="20"/>
          <w:szCs w:val="20"/>
          <w:color w:val="auto"/>
        </w:rPr>
      </w:pPr>
      <w:r>
        <w:rPr>
          <w:rFonts w:ascii="Times New Roman" w:cs="Times New Roman" w:eastAsia="Times New Roman" w:hAnsi="Times New Roman"/>
          <w:sz w:val="21"/>
          <w:szCs w:val="21"/>
          <w:color w:val="auto"/>
        </w:rPr>
        <w:t>This Amendment No. 2 (this "Amendment") to Schedule 13G (the "Schedule 13G") is being filed on behalf of Anson Funds Management LP (d/b/a Anson Funds), a Texas limited partnership, Anson Management GP LLC, a Texas limited liability company, Mr. Tony Moore, the principal of Anson Funds Management LP and Anson Management GP LLC, Anson Advisors Inc., an Ontario, Canada corporation, Mr. Amin Nathoo, a director of Anson Advisors Inc., and Mr. Moez Kassam, a director of Anson Advisors Inc., relating to Common Stock, par value $0.001 per share (the "Common Stock"), of NRX Pharmaceuticals Inc., a Delaware corporation (the "Issuer"). This Schedule 13G relates to</w:t>
      </w:r>
    </w:p>
    <w:p>
      <w:pPr>
        <w:spacing w:after="0" w:line="3" w:lineRule="exact"/>
        <w:rPr>
          <w:sz w:val="20"/>
          <w:szCs w:val="20"/>
          <w:color w:val="auto"/>
        </w:rPr>
      </w:pPr>
    </w:p>
    <w:p>
      <w:pPr>
        <w:ind w:left="920" w:hanging="912"/>
        <w:spacing w:after="0" w:line="232" w:lineRule="auto"/>
        <w:tabs>
          <w:tab w:leader="none" w:pos="92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Common Stock of the Issuer purchased by one or more private funds to which Anson Funds Management LP and Anson Advisors Inc. serve as co-investment advisors (collectively, the "Funds"). Anson Funds Management LP and Anson Advisors Inc. serve as co-investment advisors to the Funds and may direct the vote and disposition of the 1,736,737 shares of Common Stock held by the Funds. As the general partner of Anson Funds Management LP, Anson Management GP LLC may direct the vote and disposition of the 1,736,737 shares of Common Stock held by the Funds. As the principal of Anson Fund Management LP and Anson Management GP LLC, Mr. Moore may direct the vote and disposition of the 1,736,737 shares of Common Stock held by the Funds. As directors of Anson Advisors Inc., Mr. Nathoo and Mr. Kassam may each direct the vote and disposition of the 1,736,737 shares of Common Stock held by the Funds.</w:t>
      </w:r>
    </w:p>
    <w:p>
      <w:pPr>
        <w:spacing w:after="0" w:line="16"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w:t>
      </w:r>
    </w:p>
    <w:p>
      <w:pPr>
        <w:spacing w:after="0" w:line="233" w:lineRule="exact"/>
        <w:rPr>
          <w:rFonts w:ascii="Times New Roman" w:cs="Times New Roman" w:eastAsia="Times New Roman" w:hAnsi="Times New Roman"/>
          <w:sz w:val="22"/>
          <w:szCs w:val="22"/>
          <w:color w:val="auto"/>
        </w:rPr>
      </w:pPr>
    </w:p>
    <w:p>
      <w:pPr>
        <w:ind w:left="920" w:right="180"/>
        <w:spacing w:after="0" w:line="249" w:lineRule="auto"/>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Anson Funds Management LP, Anson Management GP LLC, Mr. Moore, Anson Advisors Inc., Mr. Nathoo and Mr. Kassam are the beneficial owners of 4.9% of the outstanding Ordinary Shares, which includes shares of Common Stock underlying outstanding warrants (each, a "Warrant," and collectively, the "Warrants") held by Anson Funds</w:t>
      </w:r>
    </w:p>
    <w:p>
      <w:pPr>
        <w:spacing w:after="0" w:line="1" w:lineRule="exact"/>
        <w:rPr>
          <w:rFonts w:ascii="Times New Roman" w:cs="Times New Roman" w:eastAsia="Times New Roman" w:hAnsi="Times New Roman"/>
          <w:sz w:val="22"/>
          <w:szCs w:val="22"/>
          <w:color w:val="auto"/>
        </w:rPr>
      </w:pPr>
    </w:p>
    <w:p>
      <w:pPr>
        <w:ind w:left="920" w:right="20" w:hanging="912"/>
        <w:spacing w:after="0" w:line="213" w:lineRule="auto"/>
        <w:tabs>
          <w:tab w:leader="none" w:pos="920" w:val="left"/>
        </w:tabs>
        <w:numPr>
          <w:ilvl w:val="0"/>
          <w:numId w:val="10"/>
        </w:numPr>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1"/>
          <w:szCs w:val="21"/>
          <w:color w:val="auto"/>
        </w:rPr>
        <w:t>Management LP, Anson Management GP LLC, Mr. Moore, Anson Advisors Inc., Mr. Nathoo and Mr. Kassam. Each Warrant includes a beneficial ownership limitation. The Warrants may not be exercised to the extent the Reporting Persons would, in the case of some of the Warrants, beneficially own more than 4.99% of the outstanding Ordinary Shares. The beneficial ownership set forth herein takes into account the foregoing limitation. This percentage is determined by dividing 1,736,737 by 34,804,367, which is the sum of: (i) 33,067,630 outstanding Common Stock, as reported in the Issuer's Annual Form 10-K filed with the Securities and Exchange Commission (the "SEC") on March 23, 2026; and (ii) 1,736,737, the number of Common Stock receivable by the Fund upon exercise of the Warrants. %</w:t>
      </w:r>
    </w:p>
    <w:p>
      <w:pPr>
        <w:spacing w:after="0" w:line="16" w:lineRule="exact"/>
        <w:rPr>
          <w:rFonts w:ascii="Times New Roman" w:cs="Times New Roman" w:eastAsia="Times New Roman" w:hAnsi="Times New Roman"/>
          <w:sz w:val="42"/>
          <w:szCs w:val="42"/>
          <w:color w:val="auto"/>
          <w:vertAlign w:val="subscript"/>
        </w:rPr>
      </w:pPr>
    </w:p>
    <w:p>
      <w:pPr>
        <w:ind w:left="920" w:hanging="912"/>
        <w:spacing w:after="0"/>
        <w:tabs>
          <w:tab w:leader="none" w:pos="92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60" w:orient="portrait"/>
          <w:cols w:equalWidth="0" w:num="1">
            <w:col w:w="11120"/>
          </w:cols>
          <w:pgMar w:left="360" w:top="111" w:right="419" w:bottom="0" w:gutter="0" w:footer="0" w:header="0"/>
          <w:type w:val="continuous"/>
        </w:sectPr>
      </w:pPr>
    </w:p>
    <w:bookmarkStart w:id="6" w:name="page7"/>
    <w:bookmarkEnd w:id="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ind w:right="6520" w:firstLine="6"/>
        <w:spacing w:after="0" w:line="486" w:lineRule="auto"/>
        <w:tabs>
          <w:tab w:leader="none" w:pos="258"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See Section 4(a)</w:t>
      </w:r>
    </w:p>
    <w:p>
      <w:pPr>
        <w:spacing w:after="0" w:line="1" w:lineRule="exact"/>
        <w:rPr>
          <w:rFonts w:ascii="Times New Roman" w:cs="Times New Roman" w:eastAsia="Times New Roman" w:hAnsi="Times New Roman"/>
          <w:sz w:val="22"/>
          <w:szCs w:val="22"/>
          <w:color w:val="auto"/>
        </w:rPr>
      </w:pPr>
    </w:p>
    <w:p>
      <w:pPr>
        <w:ind w:right="6240" w:firstLine="6"/>
        <w:spacing w:after="0" w:line="486" w:lineRule="auto"/>
        <w:tabs>
          <w:tab w:leader="none" w:pos="318"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See Section 4(a)</w:t>
      </w:r>
    </w:p>
    <w:p>
      <w:pPr>
        <w:spacing w:after="0" w:line="1"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See Section 4(a)</w:t>
      </w:r>
    </w:p>
    <w:p>
      <w:pPr>
        <w:spacing w:after="0" w:line="1" w:lineRule="exact"/>
        <w:rPr>
          <w:rFonts w:ascii="Times New Roman" w:cs="Times New Roman" w:eastAsia="Times New Roman" w:hAnsi="Times New Roman"/>
          <w:sz w:val="22"/>
          <w:szCs w:val="22"/>
          <w:color w:val="auto"/>
        </w:rPr>
      </w:pPr>
    </w:p>
    <w:p>
      <w:pPr>
        <w:ind w:right="5120" w:firstLine="6"/>
        <w:spacing w:after="0" w:line="486" w:lineRule="auto"/>
        <w:tabs>
          <w:tab w:leader="none" w:pos="366"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See Section 4(a)</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ectPr>
          <w:pgSz w:w="11900" w:h="16860" w:orient="portrait"/>
          <w:cols w:equalWidth="0" w:num="2">
            <w:col w:w="620" w:space="300"/>
            <w:col w:w="10220"/>
          </w:cols>
          <w:pgMar w:left="360" w:top="126" w:right="399" w:bottom="0" w:gutter="0" w:footer="0" w:header="0"/>
        </w:sectPr>
      </w:pPr>
    </w:p>
    <w:p>
      <w:pPr>
        <w:spacing w:after="0" w:line="25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See Section 4(a)</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47" w:lineRule="auto"/>
        <w:rPr>
          <w:sz w:val="20"/>
          <w:szCs w:val="20"/>
          <w:color w:val="auto"/>
        </w:rPr>
      </w:pPr>
      <w:r>
        <w:rPr>
          <w:rFonts w:ascii="Times New Roman" w:cs="Times New Roman" w:eastAsia="Times New Roman" w:hAnsi="Times New Roman"/>
          <w:sz w:val="21"/>
          <w:szCs w:val="21"/>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 By signing below I certify that, to the best of my knowledge and belief, the foreign regulatory scheme applicable to Anson Advisors Inc. is substantially comparable to the regulatory scheme applicable to the functionally equivalent U.S. institution(s). I also undertake to furnish to the Commission staff, upon request, information that would otherwise be disclosed in a Schedule 13D.</w:t>
      </w:r>
    </w:p>
    <w:p>
      <w:pPr>
        <w:spacing w:after="0" w:line="28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22"/>
          <w:szCs w:val="22"/>
          <w:color w:val="auto"/>
        </w:rPr>
        <w:t>Anson Funds Management LP</w:t>
      </w:r>
    </w:p>
    <w:p>
      <w:pPr>
        <w:spacing w:after="0" w:line="152" w:lineRule="exact"/>
        <w:rPr>
          <w:sz w:val="20"/>
          <w:szCs w:val="20"/>
          <w:color w:val="auto"/>
        </w:rPr>
      </w:pPr>
    </w:p>
    <w:p>
      <w:pPr>
        <w:ind w:left="3240"/>
        <w:spacing w:after="0"/>
        <w:tabs>
          <w:tab w:leader="none" w:pos="43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Tony Moore</w:t>
      </w:r>
    </w:p>
    <w:p>
      <w:pPr>
        <w:spacing w:after="0" w:line="44"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color w:val="auto"/>
        </w:rPr>
        <w:t>Name/Title: Tony Moore, Manager</w:t>
      </w:r>
    </w:p>
    <w:p>
      <w:pPr>
        <w:spacing w:after="0" w:line="44" w:lineRule="exact"/>
        <w:rPr>
          <w:sz w:val="20"/>
          <w:szCs w:val="20"/>
          <w:color w:val="auto"/>
        </w:rPr>
      </w:pPr>
    </w:p>
    <w:p>
      <w:pPr>
        <w:ind w:left="3240"/>
        <w:spacing w:after="0"/>
        <w:tabs>
          <w:tab w:leader="none" w:pos="43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pacing w:after="0" w:line="152"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22"/>
          <w:szCs w:val="22"/>
          <w:color w:val="auto"/>
        </w:rPr>
        <w:t>Anson Management GP LLC</w:t>
      </w:r>
    </w:p>
    <w:p>
      <w:pPr>
        <w:spacing w:after="0" w:line="152" w:lineRule="exact"/>
        <w:rPr>
          <w:sz w:val="20"/>
          <w:szCs w:val="20"/>
          <w:color w:val="auto"/>
        </w:rPr>
      </w:pPr>
    </w:p>
    <w:p>
      <w:pPr>
        <w:ind w:left="3240"/>
        <w:spacing w:after="0"/>
        <w:tabs>
          <w:tab w:leader="none" w:pos="43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Tony Moore</w:t>
      </w:r>
    </w:p>
    <w:p>
      <w:pPr>
        <w:spacing w:after="0" w:line="44"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color w:val="auto"/>
        </w:rPr>
        <w:t>Name/Title: Tony Moore, Manager</w:t>
      </w:r>
    </w:p>
    <w:p>
      <w:pPr>
        <w:spacing w:after="0" w:line="44" w:lineRule="exact"/>
        <w:rPr>
          <w:sz w:val="20"/>
          <w:szCs w:val="20"/>
          <w:color w:val="auto"/>
        </w:rPr>
      </w:pPr>
    </w:p>
    <w:p>
      <w:pPr>
        <w:ind w:left="3240"/>
        <w:spacing w:after="0"/>
        <w:tabs>
          <w:tab w:leader="none" w:pos="43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pacing w:after="0" w:line="15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22"/>
          <w:szCs w:val="22"/>
          <w:color w:val="auto"/>
        </w:rPr>
        <w:t>Tony Moore</w:t>
      </w:r>
    </w:p>
    <w:p>
      <w:pPr>
        <w:spacing w:after="0" w:line="152" w:lineRule="exact"/>
        <w:rPr>
          <w:sz w:val="20"/>
          <w:szCs w:val="20"/>
          <w:color w:val="auto"/>
        </w:rPr>
      </w:pPr>
    </w:p>
    <w:p>
      <w:pPr>
        <w:ind w:left="3240"/>
        <w:spacing w:after="0"/>
        <w:tabs>
          <w:tab w:leader="none" w:pos="43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Tony Moore</w:t>
      </w:r>
    </w:p>
    <w:p>
      <w:pPr>
        <w:spacing w:after="0" w:line="44"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color w:val="auto"/>
        </w:rPr>
        <w:t>Name/Title: Tony Moore, Manager</w:t>
      </w:r>
    </w:p>
    <w:p>
      <w:pPr>
        <w:sectPr>
          <w:pgSz w:w="11900" w:h="16860" w:orient="portrait"/>
          <w:cols w:equalWidth="0" w:num="1">
            <w:col w:w="11140"/>
          </w:cols>
          <w:pgMar w:left="360" w:top="126" w:right="399" w:bottom="0" w:gutter="0" w:footer="0" w:header="0"/>
          <w:type w:val="continuous"/>
        </w:sectPr>
      </w:pPr>
    </w:p>
    <w:bookmarkStart w:id="7" w:name="page8"/>
    <w:bookmarkEnd w:id="7"/>
    <w:p>
      <w:pPr>
        <w:ind w:left="2160"/>
        <w:spacing w:after="0"/>
        <w:tabs>
          <w:tab w:leader="none" w:pos="32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pacing w:after="0" w:line="15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color w:val="auto"/>
        </w:rPr>
        <w:t>Anson Advisors Inc.</w:t>
      </w:r>
    </w:p>
    <w:p>
      <w:pPr>
        <w:spacing w:after="0" w:line="152" w:lineRule="exact"/>
        <w:rPr>
          <w:sz w:val="20"/>
          <w:szCs w:val="20"/>
          <w:color w:val="auto"/>
        </w:rPr>
      </w:pPr>
    </w:p>
    <w:p>
      <w:pPr>
        <w:ind w:left="2200"/>
        <w:spacing w:after="0"/>
        <w:tabs>
          <w:tab w:leader="none" w:pos="32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Amin Nathoo</w:t>
      </w:r>
    </w:p>
    <w:p>
      <w:pPr>
        <w:spacing w:after="0" w:line="44"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22"/>
          <w:szCs w:val="22"/>
          <w:color w:val="auto"/>
        </w:rPr>
        <w:t>Name/Title: Amin Nathoo, Director</w:t>
      </w:r>
    </w:p>
    <w:p>
      <w:pPr>
        <w:spacing w:after="0" w:line="44" w:lineRule="exact"/>
        <w:rPr>
          <w:sz w:val="20"/>
          <w:szCs w:val="20"/>
          <w:color w:val="auto"/>
        </w:rPr>
      </w:pPr>
    </w:p>
    <w:p>
      <w:pPr>
        <w:ind w:left="2200"/>
        <w:spacing w:after="0"/>
        <w:tabs>
          <w:tab w:leader="none" w:pos="32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pacing w:after="0" w:line="152" w:lineRule="exact"/>
        <w:rPr>
          <w:sz w:val="20"/>
          <w:szCs w:val="20"/>
          <w:color w:val="auto"/>
        </w:rPr>
      </w:pPr>
    </w:p>
    <w:p>
      <w:pPr>
        <w:ind w:left="2260"/>
        <w:spacing w:after="0"/>
        <w:tabs>
          <w:tab w:leader="none" w:pos="3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Moez Kassam</w:t>
      </w:r>
    </w:p>
    <w:p>
      <w:pPr>
        <w:spacing w:after="0" w:line="44"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21"/>
          <w:szCs w:val="21"/>
          <w:color w:val="auto"/>
        </w:rPr>
        <w:t>Name/Title: Moez Kassam, Director</w:t>
      </w:r>
    </w:p>
    <w:p>
      <w:pPr>
        <w:spacing w:after="0" w:line="56" w:lineRule="exact"/>
        <w:rPr>
          <w:sz w:val="20"/>
          <w:szCs w:val="20"/>
          <w:color w:val="auto"/>
        </w:rPr>
      </w:pPr>
    </w:p>
    <w:p>
      <w:pPr>
        <w:ind w:left="2260"/>
        <w:spacing w:after="0"/>
        <w:tabs>
          <w:tab w:leader="none" w:pos="33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pacing w:after="0" w:line="15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color w:val="auto"/>
        </w:rPr>
        <w:t>Amin Nathoo</w:t>
      </w:r>
    </w:p>
    <w:p>
      <w:pPr>
        <w:spacing w:after="0" w:line="152" w:lineRule="exact"/>
        <w:rPr>
          <w:sz w:val="20"/>
          <w:szCs w:val="20"/>
          <w:color w:val="auto"/>
        </w:rPr>
      </w:pPr>
    </w:p>
    <w:p>
      <w:pPr>
        <w:ind w:left="2200"/>
        <w:spacing w:after="0"/>
        <w:tabs>
          <w:tab w:leader="none" w:pos="32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Amin Nathoo</w:t>
      </w:r>
    </w:p>
    <w:p>
      <w:pPr>
        <w:spacing w:after="0" w:line="44"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22"/>
          <w:szCs w:val="22"/>
          <w:color w:val="auto"/>
        </w:rPr>
        <w:t>Name/Title: Amin Nathoo, Director</w:t>
      </w:r>
    </w:p>
    <w:p>
      <w:pPr>
        <w:spacing w:after="0" w:line="44" w:lineRule="exact"/>
        <w:rPr>
          <w:sz w:val="20"/>
          <w:szCs w:val="20"/>
          <w:color w:val="auto"/>
        </w:rPr>
      </w:pPr>
    </w:p>
    <w:p>
      <w:pPr>
        <w:ind w:left="2200"/>
        <w:spacing w:after="0"/>
        <w:tabs>
          <w:tab w:leader="none" w:pos="32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pacing w:after="0" w:line="15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color w:val="auto"/>
        </w:rPr>
        <w:t>Moez Kassam</w:t>
      </w:r>
    </w:p>
    <w:p>
      <w:pPr>
        <w:spacing w:after="0" w:line="152" w:lineRule="exact"/>
        <w:rPr>
          <w:sz w:val="20"/>
          <w:szCs w:val="20"/>
          <w:color w:val="auto"/>
        </w:rPr>
      </w:pPr>
    </w:p>
    <w:p>
      <w:pPr>
        <w:ind w:left="2260"/>
        <w:spacing w:after="0"/>
        <w:tabs>
          <w:tab w:leader="none" w:pos="3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Moez Kassam</w:t>
      </w:r>
    </w:p>
    <w:p>
      <w:pPr>
        <w:spacing w:after="0" w:line="44"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21"/>
          <w:szCs w:val="21"/>
          <w:color w:val="auto"/>
        </w:rPr>
        <w:t>Name/Title: Moez Kassam, Director</w:t>
      </w:r>
    </w:p>
    <w:p>
      <w:pPr>
        <w:spacing w:after="0" w:line="56" w:lineRule="exact"/>
        <w:rPr>
          <w:sz w:val="20"/>
          <w:szCs w:val="20"/>
          <w:color w:val="auto"/>
        </w:rPr>
      </w:pPr>
    </w:p>
    <w:p>
      <w:pPr>
        <w:ind w:left="2260"/>
        <w:spacing w:after="0"/>
        <w:tabs>
          <w:tab w:leader="none" w:pos="33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sectPr>
      <w:pgSz w:w="11900" w:h="16838" w:orient="portrait"/>
      <w:cols w:equalWidth="0" w:num="1">
        <w:col w:w="9019"/>
      </w:cols>
      <w:pgMar w:left="1440" w:top="12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507ED7AB"/>
    <w:multiLevelType w:val="hybridMultilevel"/>
    <w:lvl w:ilvl="0">
      <w:lvlJc w:val="left"/>
      <w:lvlText w:val="2"/>
      <w:numFmt w:val="bullet"/>
      <w:start w:val="1"/>
    </w:lvl>
  </w:abstractNum>
  <w:abstractNum w:abstractNumId="1">
    <w:nsid w:val="2EB141F2"/>
    <w:multiLevelType w:val="hybridMultilevel"/>
    <w:lvl w:ilvl="0">
      <w:lvlJc w:val="left"/>
      <w:lvlText w:val="3"/>
      <w:numFmt w:val="bullet"/>
      <w:start w:val="1"/>
    </w:lvl>
  </w:abstractNum>
  <w:abstractNum w:abstractNumId="2">
    <w:nsid w:val="41B71EFB"/>
    <w:multiLevelType w:val="hybridMultilevel"/>
    <w:lvl w:ilvl="0">
      <w:lvlJc w:val="left"/>
      <w:lvlText w:val="4"/>
      <w:numFmt w:val="bullet"/>
      <w:start w:val="1"/>
    </w:lvl>
  </w:abstractNum>
  <w:abstractNum w:abstractNumId="3">
    <w:nsid w:val="79E2A9E3"/>
    <w:multiLevelType w:val="hybridMultilevel"/>
    <w:lvl w:ilvl="0">
      <w:lvlJc w:val="left"/>
      <w:lvlText w:val="2"/>
      <w:numFmt w:val="bullet"/>
      <w:start w:val="1"/>
    </w:lvl>
  </w:abstractNum>
  <w:abstractNum w:abstractNumId="4">
    <w:nsid w:val="7545E146"/>
    <w:multiLevelType w:val="hybridMultilevel"/>
    <w:lvl w:ilvl="0">
      <w:lvlJc w:val="left"/>
      <w:lvlText w:val="3"/>
      <w:numFmt w:val="bullet"/>
      <w:start w:val="1"/>
    </w:lvl>
  </w:abstractNum>
  <w:abstractNum w:abstractNumId="5">
    <w:nsid w:val="515F007C"/>
    <w:multiLevelType w:val="hybridMultilevel"/>
    <w:lvl w:ilvl="0">
      <w:lvlJc w:val="left"/>
      <w:lvlText w:val="4"/>
      <w:numFmt w:val="bullet"/>
      <w:start w:val="1"/>
    </w:lvl>
  </w:abstractNum>
  <w:abstractNum w:abstractNumId="6">
    <w:nsid w:val="5BD062C2"/>
    <w:multiLevelType w:val="hybridMultilevel"/>
    <w:lvl w:ilvl="0">
      <w:lvlJc w:val="left"/>
      <w:lvlText w:val="5"/>
      <w:numFmt w:val="bullet"/>
      <w:start w:val="1"/>
    </w:lvl>
  </w:abstractNum>
  <w:abstractNum w:abstractNumId="7">
    <w:nsid w:val="12200854"/>
    <w:multiLevelType w:val="hybridMultilevel"/>
    <w:lvl w:ilvl="0">
      <w:lvlJc w:val="left"/>
      <w:lvlText w:val="(%1)"/>
      <w:numFmt w:val="lowerLetter"/>
      <w:start w:val="2"/>
    </w:lvl>
  </w:abstractNum>
  <w:abstractNum w:abstractNumId="8">
    <w:nsid w:val="4DB127F8"/>
    <w:multiLevelType w:val="hybridMultilevel"/>
    <w:lvl w:ilvl="0">
      <w:lvlJc w:val="left"/>
      <w:lvlText w:val="(%1)"/>
      <w:numFmt w:val="lowerLetter"/>
      <w:start w:val="11"/>
    </w:lvl>
  </w:abstractNum>
  <w:abstractNum w:abstractNumId="9">
    <w:nsid w:val="216231B"/>
    <w:multiLevelType w:val="hybridMultilevel"/>
    <w:lvl w:ilvl="0">
      <w:lvlJc w:val="left"/>
      <w:lvlText w:val="(%1)"/>
      <w:numFmt w:val="lowerLetter"/>
      <w:start w:val="1"/>
    </w:lvl>
  </w:abstractNum>
  <w:abstractNum w:abstractNumId="10">
    <w:nsid w:val="1F16E9E8"/>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jpeg"/><Relationship Id="rId48" Type="http://schemas.openxmlformats.org/officeDocument/2006/relationships/image" Target="media/image4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2026-05-15T11:29:41Z</dcterms:created>
  <dcterms:modified xsi:type="dcterms:W3CDTF">2026-05-15T11:29:41Z</dcterms:modified>
</cp:coreProperties>
</file>