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92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9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0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92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92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June 3, 2026</w:t>
            </w:r>
          </w:p>
        </w:tc>
        <w:tc>
          <w:tcPr>
            <w:tcW w:w="2920" w:type="dxa"/>
            <w:vAlign w:val="bottom"/>
          </w:tcPr>
          <w:p>
            <w:pPr>
              <w:spacing w:after="0"/>
              <w:rPr>
                <w:sz w:val="24"/>
                <w:szCs w:val="24"/>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NRX PHARMACEUTICALS, INC.</w:t>
            </w: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20" w:type="dxa"/>
            <w:vAlign w:val="bottom"/>
          </w:tcPr>
          <w:p>
            <w:pPr>
              <w:spacing w:after="0"/>
              <w:rPr>
                <w:sz w:val="20"/>
                <w:szCs w:val="20"/>
                <w:color w:val="auto"/>
              </w:rPr>
            </w:pPr>
          </w:p>
        </w:tc>
      </w:tr>
      <w:tr>
        <w:trPr>
          <w:trHeight w:val="432"/>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001-38302</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82-2844431</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5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8"/>
              </w:rPr>
              <w:t>File Number)</w:t>
            </w: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1201 Orange Street, Suite 600</w:t>
            </w:r>
          </w:p>
        </w:tc>
        <w:tc>
          <w:tcPr>
            <w:tcW w:w="2920" w:type="dxa"/>
            <w:vAlign w:val="bottom"/>
          </w:tcPr>
          <w:p>
            <w:pPr>
              <w:spacing w:after="0"/>
              <w:rPr>
                <w:sz w:val="24"/>
                <w:szCs w:val="24"/>
                <w:color w:val="auto"/>
              </w:rPr>
            </w:pPr>
          </w:p>
        </w:tc>
      </w:tr>
      <w:tr>
        <w:trPr>
          <w:trHeight w:val="238"/>
        </w:trPr>
        <w:tc>
          <w:tcPr>
            <w:tcW w:w="30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Wilmington, Delaware 19801</w:t>
            </w:r>
          </w:p>
        </w:tc>
        <w:tc>
          <w:tcPr>
            <w:tcW w:w="2920" w:type="dxa"/>
            <w:vAlign w:val="bottom"/>
            <w:tcBorders>
              <w:bottom w:val="single" w:sz="8" w:color="auto"/>
            </w:tcBorders>
          </w:tcPr>
          <w:p>
            <w:pPr>
              <w:spacing w:after="0"/>
              <w:rPr>
                <w:sz w:val="20"/>
                <w:szCs w:val="20"/>
                <w:color w:val="auto"/>
              </w:rPr>
            </w:pPr>
          </w:p>
        </w:tc>
      </w:tr>
      <w:tr>
        <w:trPr>
          <w:trHeight w:val="228"/>
        </w:trPr>
        <w:tc>
          <w:tcPr>
            <w:tcW w:w="3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0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20" w:type="dxa"/>
            <w:vAlign w:val="bottom"/>
          </w:tcPr>
          <w:p>
            <w:pPr>
              <w:spacing w:after="0"/>
              <w:rPr>
                <w:sz w:val="19"/>
                <w:szCs w:val="19"/>
                <w:color w:val="auto"/>
              </w:rPr>
            </w:pPr>
          </w:p>
        </w:tc>
      </w:tr>
      <w:tr>
        <w:trPr>
          <w:trHeight w:val="395"/>
        </w:trPr>
        <w:tc>
          <w:tcPr>
            <w:tcW w:w="3080" w:type="dxa"/>
            <w:vAlign w:val="bottom"/>
          </w:tcPr>
          <w:p>
            <w:pPr>
              <w:spacing w:after="0"/>
              <w:rPr>
                <w:sz w:val="24"/>
                <w:szCs w:val="24"/>
                <w:color w:val="auto"/>
              </w:rPr>
            </w:pPr>
          </w:p>
        </w:tc>
        <w:tc>
          <w:tcPr>
            <w:tcW w:w="43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 xml:space="preserve">(484) </w:t>
            </w:r>
            <w:r>
              <w:rPr>
                <w:rFonts w:ascii="Times New Roman" w:cs="Times New Roman" w:eastAsia="Times New Roman" w:hAnsi="Times New Roman"/>
                <w:sz w:val="18"/>
                <w:szCs w:val="18"/>
                <w:color w:val="auto"/>
                <w:w w:val="99"/>
              </w:rPr>
              <w:t>254-6134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N/A</w:t>
            </w: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NRXP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Definitive Material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2026, NRx Pharmaceuticals,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with BTIG, LLC, as representative of the several underwriters listed in Schedule A thereto (the “</w:t>
      </w:r>
      <w:r>
        <w:rPr>
          <w:rFonts w:ascii="Times New Roman" w:cs="Times New Roman" w:eastAsia="Times New Roman" w:hAnsi="Times New Roman"/>
          <w:sz w:val="18"/>
          <w:szCs w:val="18"/>
          <w:i w:val="1"/>
          <w:iCs w:val="1"/>
          <w:color w:val="auto"/>
        </w:rPr>
        <w:t>Underwriters</w:t>
      </w:r>
      <w:r>
        <w:rPr>
          <w:rFonts w:ascii="Times New Roman" w:cs="Times New Roman" w:eastAsia="Times New Roman" w:hAnsi="Times New Roman"/>
          <w:sz w:val="18"/>
          <w:szCs w:val="18"/>
          <w:color w:val="auto"/>
        </w:rPr>
        <w:t>”) in connection with a public offering of an aggregate of 5,714,286 shares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by the Company at a price to the public of $3.50 per share (the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In addition, the Company granted the Underwriters a 30-day option to purchase up to 857,142 additional shares of Common Stock.</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that the net proceeds of the Offering will be approximately $18.8 million (or $21.6 million, if the Underwriters’ option to purchase additional shares of Common Stock is exercised in full), in each case, after deducting compensation payable in connection with the offering and other estimated offering expenses payable by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is being made pursuant to a shelf registration statement on Form S-3 (No. 333-288205) that was previously filed with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and declared effective by the SEC on December 22, 2025 and a prospectus supplement and accompanying base prospectus, which were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closed on June 4, 2026.</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of the Company, and customary conditions to closing, obligations of the parties and termination provisions. The Company has agreed to indemnify the Underwriters against certain liabilities, including liabilities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to contribute to payments that the Underwriters may be required to make because of such liabilities. In addition, the Company and the Company’s directors and executive officers also agreed not to sell or transfer any Common Stock without first obtaining the written consent of the Underwriters, subject to certain exceptions, for sixty (60) days after the date of the Underwriting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and incorporate herein by reference, the full text thereof, a copy of which is filed herewith as Exhibit 1.1.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2026, the Company issued a press release announcing the pricing of the Offering, a copy of which is attached hereto as 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4, 2026, the Company issued a press release announcing the closing of the Offering, a copy of which is attached hereto as Exhibit 99.2.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20" w:type="dxa"/>
            <w:vAlign w:val="bottom"/>
          </w:tcPr>
          <w:p>
            <w:pPr>
              <w:spacing w:after="0"/>
              <w:rPr>
                <w:sz w:val="20"/>
                <w:szCs w:val="20"/>
                <w:color w:val="auto"/>
              </w:rPr>
            </w:pPr>
          </w:p>
        </w:tc>
        <w:tc>
          <w:tcPr>
            <w:tcW w:w="101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43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0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Underwriting Agreement dated June 3, 2026, by and between NRx Pharmaceuticals, Inc. and BTIG, LLC, as representative of the several</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underwriters named therein.</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25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Legal Opinion of Cozen O’Connor.</w:t>
            </w:r>
          </w:p>
        </w:tc>
        <w:tc>
          <w:tcPr>
            <w:tcW w:w="754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Cozen O’Connor (included in Exhibit 5.1).</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39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Press Release dated June 3, 2026.</w:t>
            </w:r>
          </w:p>
        </w:tc>
        <w:tc>
          <w:tcPr>
            <w:tcW w:w="61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Press Release dated June 4,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698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NRX PHARMACEUTICALS, INC.</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Jonathan Javitt</w:t>
            </w:r>
          </w:p>
        </w:tc>
      </w:tr>
      <w:tr>
        <w:trPr>
          <w:trHeight w:val="191"/>
        </w:trPr>
        <w:tc>
          <w:tcPr>
            <w:tcW w:w="3820" w:type="dxa"/>
            <w:vAlign w:val="bottom"/>
          </w:tcPr>
          <w:p>
            <w:pPr>
              <w:spacing w:after="0"/>
              <w:rPr>
                <w:sz w:val="16"/>
                <w:szCs w:val="16"/>
                <w:color w:val="auto"/>
              </w:rPr>
            </w:pPr>
          </w:p>
        </w:tc>
        <w:tc>
          <w:tcPr>
            <w:tcW w:w="304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Javitt</w:t>
            </w:r>
          </w:p>
        </w:tc>
      </w:tr>
      <w:tr>
        <w:trPr>
          <w:trHeight w:val="234"/>
        </w:trPr>
        <w:tc>
          <w:tcPr>
            <w:tcW w:w="3820" w:type="dxa"/>
            <w:vAlign w:val="bottom"/>
          </w:tcPr>
          <w:p>
            <w:pPr>
              <w:spacing w:after="0"/>
              <w:rPr>
                <w:sz w:val="20"/>
                <w:szCs w:val="20"/>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20" w:top="576"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5,714,286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NRX PHARMACEUTICS,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3,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BTIG, LLC</w:t>
      </w:r>
    </w:p>
    <w:p>
      <w:pPr>
        <w:spacing w:after="0" w:line="182" w:lineRule="auto"/>
        <w:rPr>
          <w:sz w:val="20"/>
          <w:szCs w:val="20"/>
          <w:color w:val="auto"/>
        </w:rPr>
      </w:pPr>
      <w:r>
        <w:rPr>
          <w:rFonts w:ascii="Times New Roman" w:cs="Times New Roman" w:eastAsia="Times New Roman" w:hAnsi="Times New Roman"/>
          <w:sz w:val="17"/>
          <w:szCs w:val="17"/>
          <w:color w:val="auto"/>
        </w:rPr>
        <w:t>65 East 55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NRx Pharmaceutics,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proposes to issue and sell to the several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which term shall also include any underwriter substituted as hereinafter provided in Section 10 hereof) an aggregate of 5,714,286 shares of its common stock, par value $0.001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for which BTIG, LLC (“</w:t>
      </w:r>
      <w:r>
        <w:rPr>
          <w:rFonts w:ascii="Times New Roman" w:cs="Times New Roman" w:eastAsia="Times New Roman" w:hAnsi="Times New Roman"/>
          <w:sz w:val="18"/>
          <w:szCs w:val="18"/>
          <w:u w:val="single" w:color="auto"/>
          <w:color w:val="auto"/>
        </w:rPr>
        <w:t>BTIG</w:t>
      </w:r>
      <w:r>
        <w:rPr>
          <w:rFonts w:ascii="Times New Roman" w:cs="Times New Roman" w:eastAsia="Times New Roman" w:hAnsi="Times New Roman"/>
          <w:sz w:val="18"/>
          <w:szCs w:val="18"/>
          <w:color w:val="auto"/>
        </w:rPr>
        <w:t>”) is acting as representative (in such capacity,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xml:space="preserve">”). To the extent there are no additional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term “Representative” as used herein shall mean you, as Underwriter, and the term “Underwriters” shall mean either the singular or the plural, as the context requires. The 5,714,286 Common Shares to be sold by the Company are called the “</w:t>
      </w:r>
      <w:r>
        <w:rPr>
          <w:rFonts w:ascii="Times New Roman" w:cs="Times New Roman" w:eastAsia="Times New Roman" w:hAnsi="Times New Roman"/>
          <w:sz w:val="18"/>
          <w:szCs w:val="18"/>
          <w:u w:val="single" w:color="auto"/>
          <w:color w:val="auto"/>
        </w:rPr>
        <w:t>Firm Shares</w:t>
      </w:r>
      <w:r>
        <w:rPr>
          <w:rFonts w:ascii="Times New Roman" w:cs="Times New Roman" w:eastAsia="Times New Roman" w:hAnsi="Times New Roman"/>
          <w:sz w:val="18"/>
          <w:szCs w:val="18"/>
          <w:color w:val="auto"/>
        </w:rPr>
        <w:t>.” In addition, the Company has granted to the Underwriters an option to purchase up to an additional 857,142 Common Shares. The additional 857,142 Common Shares to be sold by the Company pursuant to such option are collectively called the “</w:t>
      </w:r>
      <w:r>
        <w:rPr>
          <w:rFonts w:ascii="Times New Roman" w:cs="Times New Roman" w:eastAsia="Times New Roman" w:hAnsi="Times New Roman"/>
          <w:sz w:val="18"/>
          <w:szCs w:val="18"/>
          <w:u w:val="single" w:color="auto"/>
          <w:color w:val="auto"/>
        </w:rPr>
        <w:t>Optional Shares</w:t>
      </w:r>
      <w:r>
        <w:rPr>
          <w:rFonts w:ascii="Times New Roman" w:cs="Times New Roman" w:eastAsia="Times New Roman" w:hAnsi="Times New Roman"/>
          <w:sz w:val="18"/>
          <w:szCs w:val="18"/>
          <w:color w:val="auto"/>
        </w:rPr>
        <w:t>.” The Firm Shares and, if and to the extent such option is exercised, the Optional Shares are collectively called the “</w:t>
      </w:r>
      <w:r>
        <w:rPr>
          <w:rFonts w:ascii="Times New Roman" w:cs="Times New Roman" w:eastAsia="Times New Roman" w:hAnsi="Times New Roman"/>
          <w:sz w:val="18"/>
          <w:szCs w:val="18"/>
          <w:u w:val="single" w:color="auto"/>
          <w:color w:val="auto"/>
        </w:rPr>
        <w:t>Offered 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Offered Shares as soon as the Representative deems advisable after this Underwriting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been executed and delivered.</w:t>
      </w:r>
    </w:p>
    <w:p>
      <w:pPr>
        <w:spacing w:after="0" w:line="162"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shelf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(No. 333-288205) covering the public offering and sale of certain securities, including the Offered Shares,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regulations of the Commission under the Securities Act (the “</w:t>
      </w:r>
      <w:r>
        <w:rPr>
          <w:rFonts w:ascii="Times New Roman" w:cs="Times New Roman" w:eastAsia="Times New Roman" w:hAnsi="Times New Roman"/>
          <w:sz w:val="18"/>
          <w:szCs w:val="18"/>
          <w:u w:val="single" w:color="auto"/>
          <w:color w:val="auto"/>
        </w:rPr>
        <w:t>Securities Act Regulations</w:t>
      </w:r>
      <w:r>
        <w:rPr>
          <w:rFonts w:ascii="Times New Roman" w:cs="Times New Roman" w:eastAsia="Times New Roman" w:hAnsi="Times New Roman"/>
          <w:sz w:val="18"/>
          <w:szCs w:val="18"/>
          <w:color w:val="auto"/>
        </w:rPr>
        <w:t>”), which shelf registration statement was declared effective on December 22, 2025.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Securities Act and the documents otherwise deemed to be a part thereof as of such time pursuant to Rule 430B under the Securities Act Regulations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is referred to herein as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provided, however, that the “Registration Statement” without reference to a time means such registration statement as amended by any post-effective amendments thereto as of the time of the first contract of sale for the Offered Shares, which time shall be considered the “new effective date” of such registration statement with respect to the Offered Shares within the meaning of paragraph (f)(2) of Rule 430B, including the exhibits and schedules thereto as of such time, the documents incorporated or deemed incorporated by reference therein at such time pursuant to Item 12 of Form S-3 under the Securities Act and the documents otherwise deemed to be a part thereof as of such time pursuant to the Rule 430B. Any registration statement filed pursuant to Rule 462(b) under the Securities Act Regulations is herein called the “</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and, after such filing, the term “Registration Statement” shall include the Rule 462(b) Registration Statement. Each preliminary prospectus used in connection with the offering of the Offered Shares, including the documents incorporated or deemed to be incorporated by reference therein pursuant to Item 12 of Form S-3 under the Securities Act, are collectively referred to herein as a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Promptly after execution and delivery of this Agreement, the Company will prepare and file a final prospectus relating to the Offered Shares in accordance with the provisions of Rule 424(b) under the Securities Act Regulations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The final prospectus, in the form first furnished or made available to the Underwriters for use in connection with the offering of the Offered Shares, including the documents incorporated or deemed to be incorporated by reference therein pursuant to Item 12 of Form S-3 under the Securities Act, are collectively referred to herein as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7:00 A.M., New York City time, on June 3, 2026 or such other time as agreed by the Company and the Representative.</w:t>
      </w:r>
    </w:p>
    <w:p>
      <w:pPr>
        <w:spacing w:after="0" w:line="162" w:lineRule="exact"/>
        <w:rPr>
          <w:sz w:val="20"/>
          <w:szCs w:val="20"/>
          <w:color w:val="auto"/>
        </w:rPr>
      </w:pPr>
    </w:p>
    <w:p>
      <w:pPr>
        <w:jc w:val="both"/>
        <w:ind w:left="660" w:firstLine="648"/>
        <w:spacing w:after="0" w:line="232" w:lineRule="exact"/>
        <w:rPr>
          <w:sz w:val="20"/>
          <w:szCs w:val="20"/>
          <w:color w:val="auto"/>
        </w:rPr>
      </w:pP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xml:space="preserv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w:t>
      </w:r>
      <w:r>
        <w:rPr>
          <w:rFonts w:ascii="Times New Roman" w:cs="Times New Roman" w:eastAsia="Times New Roman" w:hAnsi="Times New Roman"/>
          <w:sz w:val="18"/>
          <w:szCs w:val="18"/>
          <w:u w:val="single" w:color="auto"/>
          <w:color w:val="auto"/>
        </w:rPr>
        <w:t>Schedule B</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hereto, all considered together.</w:t>
      </w:r>
    </w:p>
    <w:p>
      <w:pPr>
        <w:spacing w:after="0" w:line="171"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under the Securities Act Regulations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including without limitation any “free writing prospectus” (as defined in Rule 405 under the Securities Act Regulations (“</w:t>
      </w:r>
      <w:r>
        <w:rPr>
          <w:rFonts w:ascii="Times New Roman" w:cs="Times New Roman" w:eastAsia="Times New Roman" w:hAnsi="Times New Roman"/>
          <w:sz w:val="18"/>
          <w:szCs w:val="18"/>
          <w:u w:val="single" w:color="auto"/>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405</w:t>
      </w:r>
      <w:r>
        <w:rPr>
          <w:rFonts w:ascii="Times New Roman" w:cs="Times New Roman" w:eastAsia="Times New Roman" w:hAnsi="Times New Roman"/>
          <w:sz w:val="18"/>
          <w:szCs w:val="18"/>
          <w:color w:val="auto"/>
        </w:rPr>
        <w:t>”)) relating to the Offered Shares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Offered Shares or of the offering that does not reflect the final terms, in each case in the form filed or required to be filed with the Commission or, if not required to be filed, in the form retained in the Company’s records pursuant to Rule 433(g).</w:t>
      </w:r>
    </w:p>
    <w:p>
      <w:pPr>
        <w:spacing w:after="0" w:line="189" w:lineRule="exact"/>
        <w:rPr>
          <w:sz w:val="20"/>
          <w:szCs w:val="20"/>
          <w:color w:val="auto"/>
        </w:rPr>
      </w:pPr>
    </w:p>
    <w:p>
      <w:pPr>
        <w:jc w:val="both"/>
        <w:ind w:left="660" w:firstLine="648"/>
        <w:spacing w:after="0" w:line="232" w:lineRule="exact"/>
        <w:rPr>
          <w:sz w:val="20"/>
          <w:szCs w:val="20"/>
          <w:color w:val="auto"/>
        </w:rPr>
      </w:pPr>
      <w:r>
        <w:rPr>
          <w:rFonts w:ascii="Times New Roman" w:cs="Times New Roman" w:eastAsia="Times New Roman" w:hAnsi="Times New Roman"/>
          <w:sz w:val="18"/>
          <w:szCs w:val="18"/>
          <w:u w:val="single" w:color="auto"/>
          <w:color w:val="auto"/>
        </w:rPr>
        <w:t>“Issuer General Use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electronic road show,” as defined in Rule 433 (a “</w:t>
      </w:r>
      <w:r>
        <w:rPr>
          <w:rFonts w:ascii="Times New Roman" w:cs="Times New Roman" w:eastAsia="Times New Roman" w:hAnsi="Times New Roman"/>
          <w:sz w:val="18"/>
          <w:szCs w:val="18"/>
          <w:u w:val="single" w:color="auto"/>
          <w:color w:val="auto"/>
        </w:rPr>
        <w:t>Bona Fide Electronic Road Show</w:t>
      </w:r>
      <w:r>
        <w:rPr>
          <w:rFonts w:ascii="Times New Roman" w:cs="Times New Roman" w:eastAsia="Times New Roman" w:hAnsi="Times New Roman"/>
          <w:sz w:val="18"/>
          <w:szCs w:val="18"/>
          <w:color w:val="auto"/>
        </w:rPr>
        <w:t xml:space="preserve">”)), as evidenced by its being specified in </w:t>
      </w:r>
      <w:r>
        <w:rPr>
          <w:rFonts w:ascii="Times New Roman" w:cs="Times New Roman" w:eastAsia="Times New Roman" w:hAnsi="Times New Roman"/>
          <w:sz w:val="18"/>
          <w:szCs w:val="18"/>
          <w:u w:val="single" w:color="auto"/>
          <w:color w:val="auto"/>
        </w:rPr>
        <w:t>Schedule B</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hereto.</w:t>
      </w:r>
    </w:p>
    <w:p>
      <w:pPr>
        <w:spacing w:after="0" w:line="171"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“Issuer Limited Use Free Writing Prospectus</w:t>
      </w:r>
      <w:r>
        <w:rPr>
          <w:rFonts w:ascii="Times New Roman" w:cs="Times New Roman" w:eastAsia="Times New Roman" w:hAnsi="Times New Roman"/>
          <w:sz w:val="18"/>
          <w:szCs w:val="18"/>
          <w:color w:val="auto"/>
        </w:rPr>
        <w:t>” means any Issuer Free Writing Prospectus that is not an Issuer General Use Free Writing Prospectus.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u w:val="single" w:color="auto"/>
          <w:color w:val="auto"/>
        </w:rPr>
        <w:t>Exchange Act Regulations</w:t>
      </w:r>
      <w:r>
        <w:rPr>
          <w:rFonts w:ascii="Times New Roman" w:cs="Times New Roman" w:eastAsia="Times New Roman" w:hAnsi="Times New Roman"/>
          <w:sz w:val="18"/>
          <w:szCs w:val="18"/>
          <w:color w:val="auto"/>
        </w:rPr>
        <w:t>”), incorporated or deemed to be incorporated by reference in the Registration Statement, such preliminary prospectus or the Prospectus, as the case may be, at or after the execution and delivery of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 w:name="page6"/>
    <w:bookmarkEnd w:id="5"/>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656"/>
        <w:spacing w:after="0" w:line="284" w:lineRule="auto"/>
        <w:tabs>
          <w:tab w:leader="none" w:pos="111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Company</w:t>
      </w:r>
      <w:r>
        <w:rPr>
          <w:rFonts w:ascii="Times New Roman" w:cs="Times New Roman" w:eastAsia="Times New Roman" w:hAnsi="Times New Roman"/>
          <w:sz w:val="18"/>
          <w:szCs w:val="18"/>
          <w:color w:val="auto"/>
        </w:rPr>
        <w:t>. The Company represents and warrants to each Underwriter as of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Time, the Closing Time (as defined below) and any Date of Delivery (as defined below), and agrees with each Underwriter, as follows:</w:t>
      </w:r>
    </w:p>
    <w:p>
      <w:pPr>
        <w:spacing w:after="0" w:line="160"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5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At the time the Company’s Annual Report on Form 10-K for the year ended December 31, 2025 (the “</w:t>
      </w:r>
      <w:r>
        <w:rPr>
          <w:rFonts w:ascii="Times New Roman" w:cs="Times New Roman" w:eastAsia="Times New Roman" w:hAnsi="Times New Roman"/>
          <w:sz w:val="18"/>
          <w:szCs w:val="18"/>
          <w:u w:val="single" w:color="auto"/>
          <w:color w:val="auto"/>
        </w:rPr>
        <w:t>Annual Report</w:t>
      </w:r>
      <w:r>
        <w:rPr>
          <w:rFonts w:ascii="Times New Roman" w:cs="Times New Roman" w:eastAsia="Times New Roman" w:hAnsi="Times New Roman"/>
          <w:sz w:val="18"/>
          <w:szCs w:val="18"/>
          <w:color w:val="auto"/>
        </w:rPr>
        <w:t>”) was filed with the Commission, or, if later, at the time the Registration Statement was originally filed with the Commission, the Company met, and the transactions contemplated by this Agreement meet, the requirements for and comply with the conditions for the use of Form S-3 under the Securities Act, including General Instruction I.B.1 of Form S-3. Each of the Registration Statement and any post-effective amendment thereto has been declared effective by the Commission under the Securities Act and the Securities Act Regulations. No stop order suspending the effectiveness of the Registration Statement or any post-effective amendment thereto has been issued by the Commission under the Securities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any requests from the Commission for additional information.</w:t>
      </w:r>
    </w:p>
    <w:p>
      <w:pPr>
        <w:spacing w:after="0" w:line="188"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of its effectiveness and at each deemed effect date with respect to the Underwriters pursuant to Rule 430B(f)(2) under the Securities Act Regulations, complied in all material respects with the requirements of the Securities Act and the Securities Act Regulations. Each preliminary prospectus, the Prospectus and any amendment or supplement thereto, at the time each was filed with the Commission, complied in all material respects with the requirements of the Securities Act and the Securities Act Regulations. Each preliminary prospectus delivered to the Underwriters for use in connection with the offering and the Prospectus was or will be identical to the electronically transmitted copies thereof filed with the Commission pursuant to EDGAR, except to the extent permitted by Regulation S-T. 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Exchange Act and the Exchange Act Regulations.</w:t>
      </w:r>
    </w:p>
    <w:p>
      <w:pPr>
        <w:spacing w:after="0" w:line="188"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any preliminary prospectus and the Prospectus, and the filing of the Registration Statement, any preliminary prospectus and the Prospectus with the Commission have been duly authorized by and on behalf of the Company, and the Registration Statement has been duly executed pursuant to such authorization.</w:t>
      </w:r>
    </w:p>
    <w:p>
      <w:pPr>
        <w:spacing w:after="0" w:line="176" w:lineRule="exact"/>
        <w:rPr>
          <w:sz w:val="20"/>
          <w:szCs w:val="20"/>
          <w:color w:val="auto"/>
        </w:rPr>
      </w:pPr>
    </w:p>
    <w:p>
      <w:pPr>
        <w:jc w:val="both"/>
        <w:ind w:left="660" w:firstLine="644"/>
        <w:spacing w:after="0" w:line="253" w:lineRule="auto"/>
        <w:tabs>
          <w:tab w:leader="none" w:pos="172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 nor (B) 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 expressly for use therein. For purposes of this Agreement, the only information so furnished shall be the information in the first paragraph under the sub-heading “Commissions and Discounts” and in the first paragraph under the sub-heading “Price Stabilization, Short Positions and Penalty Bids”, in each case contained in the Prospectus (collectively, the “</w:t>
      </w:r>
      <w:r>
        <w:rPr>
          <w:rFonts w:ascii="Times New Roman" w:cs="Times New Roman" w:eastAsia="Times New Roman" w:hAnsi="Times New Roman"/>
          <w:sz w:val="18"/>
          <w:szCs w:val="18"/>
          <w:u w:val="single" w:color="auto"/>
          <w:color w:val="auto"/>
        </w:rPr>
        <w:t>Underwriter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4"/>
        <w:spacing w:after="0" w:line="253" w:lineRule="auto"/>
        <w:tabs>
          <w:tab w:leader="none" w:pos="10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Prospectuses</w:t>
      </w:r>
      <w:r>
        <w:rPr>
          <w:rFonts w:ascii="Times New Roman" w:cs="Times New Roman" w:eastAsia="Times New Roman" w:hAnsi="Times New Roman"/>
          <w:sz w:val="18"/>
          <w:szCs w:val="18"/>
          <w:color w:val="auto"/>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No filing of any “road show” (as defined in Rule 433(h)) is required in connection with the offering of the Offered Shares. Any Issuer Free Writing Prospectus that the Company is required to file pursuant to Rule 433(d) has been, or will be, filed with the Commission in accordance with the requirements of the Securities Act and the Securities Act Regulations. Each Issuer Free Writing Prospectus that the Company has filed, or is required to file, pursuant to Rule 433(d) or that was prepared by or on behalf of or used or referred to by the Company complies or will comply in all material respects with the requirements of the Securities Act and the Securities Act Regulations. Except for the Issuer General Use Free Writing Prospectuses, if any, and electronic road shows, if any, each furnished to the Representative before first use, the Company has not prepared, used or referred to, and will not, without the prior consent of the Representative, prepare, use or refer to, any Issuer Free Writing Prospectus.</w:t>
      </w:r>
    </w:p>
    <w:p>
      <w:pPr>
        <w:spacing w:after="0" w:line="194" w:lineRule="exact"/>
        <w:rPr>
          <w:rFonts w:ascii="Times New Roman" w:cs="Times New Roman" w:eastAsia="Times New Roman" w:hAnsi="Times New Roman"/>
          <w:sz w:val="18"/>
          <w:szCs w:val="18"/>
          <w:color w:val="auto"/>
        </w:rPr>
      </w:pPr>
    </w:p>
    <w:p>
      <w:pPr>
        <w:ind w:left="1080" w:hanging="436"/>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44"/>
        <w:spacing w:after="0" w:line="258" w:lineRule="auto"/>
        <w:tabs>
          <w:tab w:leader="none" w:pos="10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Offering Material by the Company</w:t>
      </w:r>
      <w:r>
        <w:rPr>
          <w:rFonts w:ascii="Times New Roman" w:cs="Times New Roman" w:eastAsia="Times New Roman" w:hAnsi="Times New Roman"/>
          <w:sz w:val="18"/>
          <w:szCs w:val="18"/>
          <w:color w:val="auto"/>
        </w:rPr>
        <w:t>. Prior to the later of (i) the expiration or termination of the option granted to the several Underwriters and (ii) the completion of the Underwriters’ distribution of the Offered Shares, the Company has not distributed and will not distribute any offering material in connection with the offering and sale of the Offered Shares other than the Registration Statement, the General Disclosure Package, the Prospectus or any free writing prospectus reviewed and consented to by the Representative and the Issuer Free Writing Prospectus hereto.</w:t>
      </w:r>
    </w:p>
    <w:p>
      <w:pPr>
        <w:spacing w:after="0" w:line="18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7" w:name="page8"/>
    <w:bookmarkEnd w:id="7"/>
    <w:p>
      <w:pPr>
        <w:jc w:val="both"/>
        <w:ind w:left="-460" w:firstLine="644"/>
        <w:spacing w:after="0" w:line="258" w:lineRule="auto"/>
        <w:tabs>
          <w:tab w:leader="none" w:pos="6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Ineligible Issuer</w:t>
      </w:r>
      <w:r>
        <w:rPr>
          <w:rFonts w:ascii="Times New Roman" w:cs="Times New Roman" w:eastAsia="Times New Roman" w:hAnsi="Times New Roman"/>
          <w:sz w:val="18"/>
          <w:szCs w:val="18"/>
          <w:color w:val="auto"/>
        </w:rPr>
        <w:t xml:space="preserve">. At the time of filing the Registration Statement and any post-effective amendment thereto, at the earliest time thereafter that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Regulations) of the Offered Shares and at the date hereof, the Company was not and is not an “ineligible issuer,” as defined in Rule 405 under the Securities Act Regulations, without taking account of any determination by the Commission pursuant to Rule 405 under the Securities Act Regulations that it is not necessary that the Company be considered an ineligible issuer.</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accountants who certified the financial statements and supporting schedules included in the Registration Statement, the General Disclosure Package and the Prospectus are (i) independent public accountants as required by the Securities Act, the Securities Act Regulations, the Exchange Act, the rules and regulations of the Commission under the Exchange Act and the Public Company Accounting Oversight Board (United States)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 Such accountants have not been engaged by the Company to perform any “prohibited activities” or provided to the Company any “non-audit services” (as defined in Section 10A of the Exchange Act).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Non-GAAP Financial Measures</w:t>
      </w:r>
      <w:r>
        <w:rPr>
          <w:rFonts w:ascii="Times New Roman" w:cs="Times New Roman" w:eastAsia="Times New Roman" w:hAnsi="Times New Roman"/>
          <w:sz w:val="18"/>
          <w:szCs w:val="18"/>
          <w:color w:val="auto"/>
        </w:rPr>
        <w:t>. The financial statements included or incorporated by reference in the Registration Statement, the General Disclosure Package and the Prospectus, together with the related schedules and notes, comply as to form in all material respects with Regulation S-X under the Securities Act and present fairly, in all material respects, the financial position of the Company and its consolidated Subsidiaries (as defined below) at the dates indicated and the statement of operations, statement of stockholders’ deficit and statement of cash flows of the Company and its consolidated Subsidiaries for the periods specified; said financial statements have been prepared in conformity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involved. The supporting schedules, if any, present fairly, in all material respects, in accordance with GAAP the information required to be stated therein. No other financial statements or supporting schedules are required to be included in the Registration Statement, the General Disclosure Package or the Prospectus. No historical or pro forma financial statements or supporting schedules are required to be included or incorporated by reference in the Registration Statement, the General Disclosure Package or the Prospectus under the Securities Act or the Securities Act Regulations. All disclosures contained in the Registration Statement, the General Disclosure Package or the Prospectus, or incorporated by reference therein, regarding “non-GAAP financial measures” (as such term is defined by the rules and regulations of the Commission) comply with Regulation G under the Exchange Act, and Item 10 of Regulation S-K under the Exchange Act, to the extent applicable. The interactive data in eXtensible Business Reporting Language included or incorporated by reference in the Registration Statement, the General Disclosure Package and the Prospectus fairly presents the information called for in all material respects and has been prepared in accordance with the Commission’s rules and guidelines applicable thereto.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and included in the Registration Statement, the General Disclosure Package and the Prospectus.</w:t>
      </w:r>
    </w:p>
    <w:p>
      <w:pPr>
        <w:spacing w:after="0" w:line="1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8" w:name="page9"/>
    <w:bookmarkEnd w:id="8"/>
    <w:p>
      <w:pPr>
        <w:jc w:val="both"/>
        <w:ind w:left="-460" w:firstLine="644"/>
        <w:spacing w:after="0" w:line="255" w:lineRule="auto"/>
        <w:tabs>
          <w:tab w:leader="none" w:pos="7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 Balance Sheet Transactions</w:t>
      </w:r>
      <w:r>
        <w:rPr>
          <w:rFonts w:ascii="Times New Roman" w:cs="Times New Roman" w:eastAsia="Times New Roman" w:hAnsi="Times New Roman"/>
          <w:sz w:val="18"/>
          <w:szCs w:val="18"/>
          <w:color w:val="auto"/>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 w:cs="Times New Roman" w:eastAsia="Times New Roman" w:hAnsi="Times New Roman"/>
          <w:sz w:val="18"/>
          <w:szCs w:val="18"/>
          <w:u w:val="single" w:color="auto"/>
          <w:color w:val="auto"/>
        </w:rPr>
        <w:t>Off Balance Sheet Transaction</w:t>
      </w:r>
      <w:r>
        <w:rPr>
          <w:rFonts w:ascii="Times New Roman" w:cs="Times New Roman" w:eastAsia="Times New Roman" w:hAnsi="Times New Roman"/>
          <w:sz w:val="18"/>
          <w:szCs w:val="18"/>
          <w:color w:val="auto"/>
        </w:rPr>
        <w:t>”) that would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Registration Statement, the General Disclosure Package and the Prospectus which have not been described as required.</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6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 of 2002</w:t>
      </w:r>
      <w:r>
        <w:rPr>
          <w:rFonts w:ascii="Times New Roman" w:cs="Times New Roman" w:eastAsia="Times New Roman" w:hAnsi="Times New Roman"/>
          <w:sz w:val="18"/>
          <w:szCs w:val="18"/>
          <w:color w:val="auto"/>
        </w:rPr>
        <w:t>. There is and has been no failure on the part of the Company or any of the Company’s directors or officers, in their capacities as such, to comply in all material respects with any provision of the Sarbanes-Oxley Act of 2002 and the rules and regulations promulgated thereunder (collectively,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6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Since the respective dates as of which information is given in the Registration Statement, the General Disclosure Package or the Prospectus, (A) there has been no material adverse change, or any development that could be expected to result in a material adverse change, in (1) the condition, financial or otherwise, or in the earnings, business affairs or business prospects of the Company and its Subsidiaries considered as one enterprise, whether or not arising in the ordinary course of business or (2)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(B) there have been no transactions entered into by the Company or any of its Subsidiaries, other than those in the ordinary course of business, which are material with respect to the Company and its Subsidiaries considered as one enterprise, (C) there have been no material liabilities or obligations, direct or contingent, entered into by the Company or any of its Subsidiaries, (D) there has been no material decrease in capital stock and no material increase in any short-term or long-term indebtedness of the Company or any of its Subsidiaries and (E) there has been no dividend or distribution of any kind declared, paid or made by the Company on any class of its capital stock, or, except for dividends paid to the Company or another Subsidiary, by any Subsidiary on any class of shares, or any repurchase or redemption by the Company or any of its Subsidiaries of any class of shares.</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7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be so qualified or to be in good standing could not reasonably be expected, individually or in the aggregate, to have a Material Adverse Effect.</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9" w:name="page10"/>
    <w:bookmarkEnd w:id="9"/>
    <w:p>
      <w:pPr>
        <w:jc w:val="both"/>
        <w:ind w:left="-460" w:firstLine="644"/>
        <w:spacing w:after="0" w:line="218" w:lineRule="exact"/>
        <w:tabs>
          <w:tab w:leader="none" w:pos="7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 of the Company</w:t>
      </w:r>
      <w:r>
        <w:rPr>
          <w:rFonts w:ascii="Times New Roman" w:cs="Times New Roman" w:eastAsia="Times New Roman" w:hAnsi="Times New Roman"/>
          <w:sz w:val="18"/>
          <w:szCs w:val="18"/>
          <w:color w:val="auto"/>
        </w:rPr>
        <w:t>. Each subsidiary of the Company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All of the issued and outstanding capital stock of each Subsidiary has been duly authorized and validly issued, is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The Subsidiaries listed in Schedule C to this Agreement are the only subsidiaries of the Company.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200" w:lineRule="exact"/>
        <w:rPr>
          <w:rFonts w:ascii="Times New Roman" w:cs="Times New Roman" w:eastAsia="Times New Roman" w:hAnsi="Times New Roman"/>
          <w:sz w:val="18"/>
          <w:szCs w:val="18"/>
          <w:color w:val="auto"/>
        </w:rPr>
      </w:pPr>
    </w:p>
    <w:p>
      <w:pPr>
        <w:jc w:val="both"/>
        <w:ind w:left="-460" w:firstLine="644"/>
        <w:spacing w:after="0" w:line="218" w:lineRule="exact"/>
        <w:tabs>
          <w:tab w:leader="none" w:pos="7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issued and outstanding shares of capital stock of the Company are as set forth in the Registration Statement, the General Disclosure Package and the Prospectus (except for subsequent issuances, if any, (A) pursuant to this Agreement, (B) pursuant to reservations, agreements or employee benefit plans referred to in the Registration Statement, the General Disclosure Package and the Prospectus or (C) pursuant to the conversion of convertible securities or exercise of options referred to in the Registration Statement, the General Disclosure Package and the Prospectus). The Common Shares conform in all material respects to the description thereof contained in the Registration Statement, the General Disclosure Package and the Prospectus, including under the heading “Description of our Capital Stock.” The outstanding shares of capital stock of the Company have been duly authorized and are validly issued,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None of the outstanding shares of capital stock of the Company were issued in violation of the preemptive rights, rights of first refusal or other similar rights of any securityholder of the Company. Except as disclosed in or contemplated by the Registration Statement, the General Disclosure Package and the Prospectus, there are no authorized or outstanding options, warrants, preemptive rights, rights of first refusal or other rights to purchase, or equity or debt securities convertible into or exchangeable or exercisable for, any capital stock of the Company or its Subsidiaries.</w:t>
      </w:r>
    </w:p>
    <w:p>
      <w:pPr>
        <w:spacing w:after="0" w:line="201" w:lineRule="exact"/>
        <w:rPr>
          <w:rFonts w:ascii="Times New Roman" w:cs="Times New Roman" w:eastAsia="Times New Roman" w:hAnsi="Times New Roman"/>
          <w:sz w:val="18"/>
          <w:szCs w:val="18"/>
          <w:color w:val="auto"/>
        </w:rPr>
      </w:pPr>
    </w:p>
    <w:p>
      <w:pPr>
        <w:ind w:left="660" w:hanging="47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19" w:lineRule="exact"/>
        <w:tabs>
          <w:tab w:leader="none" w:pos="7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Offered Shares</w:t>
      </w:r>
      <w:r>
        <w:rPr>
          <w:rFonts w:ascii="Times New Roman" w:cs="Times New Roman" w:eastAsia="Times New Roman" w:hAnsi="Times New Roman"/>
          <w:sz w:val="18"/>
          <w:szCs w:val="18"/>
          <w:color w:val="auto"/>
        </w:rPr>
        <w:t>. The Offered Shares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and the issuance of the Offered Shares is not subject to the preemptive or other similar rights of any securityholder of the Company. The Common Shares conform to all statements relating thereto contained in the Registration Statement, the General Disclosure Package and the Prospectus and such description conforms to the rights set forth in the instruments defining the same. No holder of Offered Shares will be subject to personal liability by reason of being such a holder.</w:t>
      </w:r>
    </w:p>
    <w:p>
      <w:pPr>
        <w:spacing w:after="0" w:line="2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 w:name="page11"/>
    <w:bookmarkEnd w:id="10"/>
    <w:p>
      <w:pPr>
        <w:jc w:val="both"/>
        <w:ind w:left="-460" w:firstLine="644"/>
        <w:spacing w:after="0" w:line="266" w:lineRule="auto"/>
        <w:tabs>
          <w:tab w:leader="none" w:pos="7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persons with registration rights or other similar rights to have any securities registered for sale pursuant to the Registration Statement or otherwise registered for sale or sold by the Company under the Securities Act pursuant to this Agreement.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Purchase Preferred Stock</w:t>
      </w:r>
      <w:r>
        <w:rPr>
          <w:rFonts w:ascii="Times New Roman" w:cs="Times New Roman" w:eastAsia="Times New Roman" w:hAnsi="Times New Roman"/>
          <w:sz w:val="18"/>
          <w:szCs w:val="18"/>
          <w:color w:val="auto"/>
        </w:rPr>
        <w:t>. The issuance and sale of the Offered Shares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7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Defaults and Conflicts</w:t>
      </w:r>
      <w:r>
        <w:rPr>
          <w:rFonts w:ascii="Times New Roman" w:cs="Times New Roman" w:eastAsia="Times New Roman" w:hAnsi="Times New Roman"/>
          <w:sz w:val="18"/>
          <w:szCs w:val="18"/>
          <w:color w:val="auto"/>
        </w:rPr>
        <w:t>. Neither the Company nor any Subsidiary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Subsidiary is a party or by which either of them may be bound or to which any of the properties or assets of the Company or any Subsidiary is subject (collectively, “</w:t>
      </w:r>
      <w:r>
        <w:rPr>
          <w:rFonts w:ascii="Times New Roman" w:cs="Times New Roman" w:eastAsia="Times New Roman" w:hAnsi="Times New Roman"/>
          <w:sz w:val="18"/>
          <w:szCs w:val="18"/>
          <w:u w:val="single" w:color="auto"/>
          <w:color w:val="auto"/>
        </w:rPr>
        <w:t>Agreements and Instruments</w:t>
      </w:r>
      <w:r>
        <w:rPr>
          <w:rFonts w:ascii="Times New Roman" w:cs="Times New Roman" w:eastAsia="Times New Roman" w:hAnsi="Times New Roman"/>
          <w:sz w:val="18"/>
          <w:szCs w:val="18"/>
          <w:color w:val="auto"/>
        </w:rPr>
        <w:t>”), except for such defaults that could not reasonably be expected, individually or in the aggregate, to have a Material Adverse Effect, or (C) in violation of any law, statute, rule, regulation, judgment, order, writ or decree of any arbitrator, court, governmental body, regulatory body, administrative agency or other authority, body or agency having jurisdiction over the Company or its Subsidiaries or any of their respective properties, assets or operations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except for such violations that could not reasonably be expected, individually or in the aggregate, to have a Material Adverse Effect. The execution, delivery and performance of this Agreement and the consummation of the transactions contemplated herein and in the Registration Statement, the General Disclosure Package and the Prospectus (including the issuance and sale of the Offered Shares and the use of the proceeds from the sale of the Offered Shares as described therein under the caption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its Subsidiaries pursuant to, the Agreements and Instruments (except for such conflicts, breaches, defaults or Repayment Events or liens, charges or encumbrances that could not reasonably be expected, individually or in the aggregate, to have a Material Adverse Effect), nor will such action result in any violation of the provisions of the charter, by-laws or similar organizational document of the Company or its Subsidiaries or any law, statute, rule, regulation, judgment, order, writ or decree of any Governmental Entity. As used herein, a “</w:t>
      </w:r>
      <w:r>
        <w:rPr>
          <w:rFonts w:ascii="Times New Roman" w:cs="Times New Roman" w:eastAsia="Times New Roman" w:hAnsi="Times New Roman"/>
          <w:sz w:val="18"/>
          <w:szCs w:val="18"/>
          <w:u w:val="single" w:color="auto"/>
          <w:color w:val="auto"/>
        </w:rPr>
        <w:t>Repayment Event</w:t>
      </w:r>
      <w:r>
        <w:rPr>
          <w:rFonts w:ascii="Times New Roman" w:cs="Times New Roman" w:eastAsia="Times New Roman" w:hAnsi="Times New Roman"/>
          <w:sz w:val="18"/>
          <w:szCs w:val="18"/>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its Subsidiaries.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7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Contract Terminations</w:t>
      </w:r>
      <w:r>
        <w:rPr>
          <w:rFonts w:ascii="Times New Roman" w:cs="Times New Roman" w:eastAsia="Times New Roman" w:hAnsi="Times New Roman"/>
          <w:sz w:val="18"/>
          <w:szCs w:val="18"/>
          <w:color w:val="auto"/>
        </w:rPr>
        <w:t>. Neither the Company nor any of its Subsidiaries has sent or received any communication regarding termination of, or intent not to renew, any of the contracts or agreements referred to or described in the Registration Statement, the General Disclosure Package and the Prospectus,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1" w:name="page12"/>
    <w:bookmarkEnd w:id="11"/>
    <w:p>
      <w:pPr>
        <w:jc w:val="both"/>
        <w:ind w:left="-460" w:firstLine="644"/>
        <w:spacing w:after="0" w:line="256" w:lineRule="auto"/>
        <w:tabs>
          <w:tab w:leader="none" w:pos="7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Related-Party Transactions</w:t>
      </w:r>
      <w:r>
        <w:rPr>
          <w:rFonts w:ascii="Times New Roman" w:cs="Times New Roman" w:eastAsia="Times New Roman" w:hAnsi="Times New Roman"/>
          <w:sz w:val="18"/>
          <w:szCs w:val="18"/>
          <w:color w:val="auto"/>
        </w:rPr>
        <w:t>. There are no relationships, direct or indirect, or related-party transactions involving the Company or any of its Subsidiaries or any other person (including any director, officer, stockholder, customer or supplier of the Company or any of its Subsidiaries) required to be described in the Registration Statement, the General Disclosure Package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7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Registration; Listing</w:t>
      </w:r>
      <w:r>
        <w:rPr>
          <w:rFonts w:ascii="Times New Roman" w:cs="Times New Roman" w:eastAsia="Times New Roman" w:hAnsi="Times New Roman"/>
          <w:sz w:val="18"/>
          <w:szCs w:val="18"/>
          <w:color w:val="auto"/>
        </w:rPr>
        <w:t>. The Common Shares are registered pursuant to Section 12(b) or 12(g) of the Exchange Act and the Common Shares have been approved for listing on the Nasdaq Capital Market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subject to notice of issuance, and the Company has taken no action designed to, or likely to have the effect of, terminating the registration of the Common Shares under the Exchange Act or delisting the Common Shares from the Exchange, nor has the Company received any notification that the Commission or the Exchange is contemplating terminating such registration or listing. The Company is in compliance with all applicable listing requirements of the Exchange.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with the employees of the Company or its Subsidiaries exists or, to the knowledge of the Company, is imminent, and the Company is not aware of any existing or imminent labor disturbance by the employees of any of its or its Subsidiaries’ principal collaborators, suppliers, manufacturers, customers or contractors, which, in either case, would result in a Material Adverse Effect. None of the employees of the Company or any of its Subsidiaries is represented by a labor union and, to the knowledge of the Company, no labor union organizing activities have occurred or are ongoing. Neither the Company nor its Subsidiaries has violated (or received notice of any violation of) any federal, state or local law or foreign law relating to the discrimination in hiring, promotion or pay of employees, nor any applicable wage or hour laws, or the rules and regulations thereunder, or analogous foreign laws and regulations, which could reasonably be expected to, individually or in the aggregate,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There is no action, suit, proceeding, inquiry or, to the knowledge of the Company, investigation before or brought by any Governmental Entity (including, without limitation, any action, suit, proceeding, inquiry or investigation before or brought by the U.S. Food and Drug Administration (the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or the European Medicines Agency (the “</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now pending or, to the knowledge of the Company, threatened against or affecting the Company or its Subsidiaries, which could reasonably be expected to result in a Material Adverse Effect, or which could reasonably be expected to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could not reasonably be expected, individually or in the aggregate, to have a Material Adverse Effect.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77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 w:name="page13"/>
    <w:bookmarkEnd w:id="12"/>
    <w:p>
      <w:pPr>
        <w:jc w:val="both"/>
        <w:ind w:left="-460" w:firstLine="644"/>
        <w:spacing w:after="0" w:line="254" w:lineRule="auto"/>
        <w:tabs>
          <w:tab w:leader="none" w:pos="8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Except for the registration of the Offered Shares under the Securities Act and, the Exchange Act and applicable state securities laws, and such consents, approvals, authorizations, orders and registrations or qualifications as may be required by FINRA and the Exchange in connection with the purchase and distribution of the Offered Shares by the Underwriters and the listing of the Offered Shares on the Exchange, no consent, approval, authorization or order of, or filing, qualification or registration (each an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with, any court, governmental or regulatory agency or body, foreign or domestic, which has not been made, obtained or taken and is not in full force and effect, is required for the execution, delivery and performance of this Agreement by the Company, the issuance and sale of the Offered Shares or the consummation of the transactions contemplated hereby; and no event has occurred that allows or results in, or after notice or lapse of time or both would allow or result in, revocation, suspension, termination or invalidation of any such Authorization or any other impairment of the rights of the holder or maker of any such Authorization.</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0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its Subsidiaries possess all such permits, licenses, sub-licenses, certificates, approvals, clearances, exemptions, registrations, consents and other authorizations (collectively, “</w:t>
      </w:r>
      <w:r>
        <w:rPr>
          <w:rFonts w:ascii="Times New Roman" w:cs="Times New Roman" w:eastAsia="Times New Roman" w:hAnsi="Times New Roman"/>
          <w:sz w:val="18"/>
          <w:szCs w:val="18"/>
          <w:u w:val="single" w:color="auto"/>
          <w:color w:val="auto"/>
        </w:rPr>
        <w:t>Governmental Licenses</w:t>
      </w:r>
      <w:r>
        <w:rPr>
          <w:rFonts w:ascii="Times New Roman" w:cs="Times New Roman" w:eastAsia="Times New Roman" w:hAnsi="Times New Roman"/>
          <w:sz w:val="18"/>
          <w:szCs w:val="18"/>
          <w:color w:val="auto"/>
        </w:rPr>
        <w:t>”) issued by the appropriate Governmental Entities necessary to conduct the business now operated by them (including, without limitation, all such Governmental Licenses required by the FDA, the EMA, or any other federal, state, local or foreign agencies or bodies engaged in the regulation of clinical or preclinical studies, pharmaceuticals, biologics, biohazardous substances, medical devices, diagnostics or other activities related and applicable to the business now operated by the Company and its Subsidiaries), except where the failure so to possess could not reasonably be expected, individually or in the aggregate, to have a Material Adverse Effect. The Company and its Subsidiaries are in compliance with the terms and conditions of all Governmental Licenses, except where the failure so to comply could not reasonably be expected, individually or in the aggregate, to have a Material Adverse Effect. The Company has fulfilled and performed all of its material obligations with respect to the Governmental Licenses and, to the knowledge of the Company, no event has occurred which allows, or after notice or lapse of time would allow, revocation or termination thereof or results in any other material impairment of the rights of the Company as a holder of any permit, except where the failure to so fulfill or perform, or the occurrence of such event, could not reasonably be expected, individually or in the aggregate, to have a Material Adverse Effect. All of the Governmental Licenses are valid and in full force and effect, except where the invalidity of such Governmental Licenses or the failure of such Governmental Licenses to be in full force and effect could not reasonably be expected, individually or in the aggregate, to have a Material Adverse Effect. Neither the Company nor its Subsidiaries has received any notice of proceedings relating to the revocation, suspension, termination, invalidation or modification of, or non-compliance with, any Governmental Licenses which, if the subject of an unfavorable decision, ruling or finding, would singly or in the aggregate result in a Material Adverse Effect. To the knowledge of the Company, the manufacturing facilities and operations of its suppliers are operated in compliance in all material respects with all Applicable Laws (as defined below) and Governmental Licenses.</w:t>
      </w:r>
    </w:p>
    <w:p>
      <w:pPr>
        <w:spacing w:after="0" w:line="190"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and all of the leases and subleases material to the business of the Company and its Subsidiaries, considered as one enterprise, and under which the Company or its Subsidiaries holds properties described in the Registration Statement, the General Disclosure Package or the Prospectus, are in full force and effect, and neither the Company nor any such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3" w:name="page14"/>
    <w:bookmarkEnd w:id="13"/>
    <w:p>
      <w:pPr>
        <w:jc w:val="both"/>
        <w:ind w:left="-460" w:firstLine="644"/>
        <w:spacing w:after="0" w:line="251" w:lineRule="auto"/>
        <w:tabs>
          <w:tab w:leader="none" w:pos="8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Intellectual Property</w:t>
      </w:r>
      <w:r>
        <w:rPr>
          <w:rFonts w:ascii="Times New Roman" w:cs="Times New Roman" w:eastAsia="Times New Roman" w:hAnsi="Times New Roman"/>
          <w:sz w:val="18"/>
          <w:szCs w:val="18"/>
          <w:color w:val="auto"/>
        </w:rPr>
        <w:t>. The Company owns or has valid, binding and enforceable licenses or other rights under the patents, patent applications, licenses, inventions, copyrights, know how (including trade secrets and other proprietary or confidential information, systems or procedures), trademarks, service marks, trade names or other intellectual property necessary for, or used in the conduct, or the proposed conduct, of the business of the Company in the manner described in the Registration Statement, the General Disclosure Package and the Prospectus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patents, trademarks, and copyrights, if any, included within the Intellectual Property are valid, enforceable, and subsisting; (A) the Company is not obligated to pay a material royalty, grant a license to, or provide other material consideration to any third party in connection with the Intellectual Property, (B) the Company has not received any notice of any claim of infringement, misappropriation or conflict with any asserted rights of others with respect to any of the Company’s drug candidates, services, processes or Intellectual Property, (C) to the knowledge of the Company, neither the sale nor use of any of the discoveries, inventions, drug candidates, services or processes of the Company referred to in the Registration Statement, the General Disclosure Package or the Prospectus do or will infringe, misappropriate or violate any right or valid patent claim of any third party, (D) none of the technology employed by the Company has been obtained or is being used by the Company in material violation of any contractual obligation binding on the Company or, to the Company’s knowledge, upon any of its officers, directors or employees or otherwise in violation of the rights of any persons, (E) to the knowledge of the Company, no third party has any ownership right in or to any Intellectual Property that is owned by the Company, other than any co-owner of any patent or patent application in the Intellectual Property who is listed as co-owner in the records of the U.S. Patent and Trademark Office (the “</w:t>
      </w:r>
      <w:r>
        <w:rPr>
          <w:rFonts w:ascii="Times New Roman" w:cs="Times New Roman" w:eastAsia="Times New Roman" w:hAnsi="Times New Roman"/>
          <w:sz w:val="18"/>
          <w:szCs w:val="18"/>
          <w:u w:val="single" w:color="auto"/>
          <w:color w:val="auto"/>
        </w:rPr>
        <w:t>USPTO</w:t>
      </w:r>
      <w:r>
        <w:rPr>
          <w:rFonts w:ascii="Times New Roman" w:cs="Times New Roman" w:eastAsia="Times New Roman" w:hAnsi="Times New Roman"/>
          <w:sz w:val="18"/>
          <w:szCs w:val="18"/>
          <w:color w:val="auto"/>
        </w:rPr>
        <w:t>”), and, no third party has any ownership right in or to any Intellectual Property in any field of use that is exclusively licensed to the Company, other than any licensor to the Company of such Intellectual Property, (F) there is no material infringement by third parties of any Intellectual Property, (G) there is no pending or, to the Company’s knowledge, threatened action, suit, proceeding or claim by others challenging the Company’s rights in or to any Intellectual Property, (H) there is no pending or, to the Company’s knowledge, threatened action, suit, proceeding or claim by others challenging the validity or scope of any Intellectual Property, and (I) all Intellectual Property owned by or exclusively licensed to the Company or its Subsidiaries is free and clear of all liens, encumbrances, defects or other restrictions (other than non-exclusive licenses granted in the ordinary course of business), except those that could not be reasonably expected, individually or in the aggregate, to have a Material Adverse Effect. The Company is in compliance with the terms of each agreement pursuant to which Intellectual Property has been licensed to the Company, and all such agreements are in full force and effect.</w:t>
      </w:r>
    </w:p>
    <w:p>
      <w:pPr>
        <w:spacing w:after="0" w:line="20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Patents and Patent Applications</w:t>
      </w:r>
      <w:r>
        <w:rPr>
          <w:rFonts w:ascii="Times New Roman" w:cs="Times New Roman" w:eastAsia="Times New Roman" w:hAnsi="Times New Roman"/>
          <w:sz w:val="18"/>
          <w:szCs w:val="18"/>
          <w:color w:val="auto"/>
        </w:rPr>
        <w:t>. All patents and patent applications owned by or licensed to the Company otherwise or under which the Company has rights have, to the knowledge of the Company, been duly and properly filed and maintained; to the knowledge of the Company, the parties prosecuting such patents and patent applications have complied with their duty of candor and disclosure to the USPTO in connection with such patents and patent applications; and the Company is not aware of the non-disclosure to the USPTO of any facts that would preclude the grant of a patent in connection with any such patent application or that would reasonably be expected to form the basis of a finding of invalidity or unenforceability with respect to any such patents. To the Company’s knowledge, all patents and patent applications owned by the Company and filed with the USPTO or any other applicable patent authority (the “</w:t>
      </w:r>
      <w:r>
        <w:rPr>
          <w:rFonts w:ascii="Times New Roman" w:cs="Times New Roman" w:eastAsia="Times New Roman" w:hAnsi="Times New Roman"/>
          <w:sz w:val="18"/>
          <w:szCs w:val="18"/>
          <w:u w:val="single" w:color="auto"/>
          <w:color w:val="auto"/>
        </w:rPr>
        <w:t>Company Patent Rights</w:t>
      </w:r>
      <w:r>
        <w:rPr>
          <w:rFonts w:ascii="Times New Roman" w:cs="Times New Roman" w:eastAsia="Times New Roman" w:hAnsi="Times New Roman"/>
          <w:sz w:val="18"/>
          <w:szCs w:val="18"/>
          <w:color w:val="auto"/>
        </w:rPr>
        <w:t>”) and all patents and patent applications in-licensed by the Company and filed with the USPTO or any other applicable patent authority (the “</w:t>
      </w:r>
      <w:r>
        <w:rPr>
          <w:rFonts w:ascii="Times New Roman" w:cs="Times New Roman" w:eastAsia="Times New Roman" w:hAnsi="Times New Roman"/>
          <w:sz w:val="18"/>
          <w:szCs w:val="18"/>
          <w:u w:val="single" w:color="auto"/>
          <w:color w:val="auto"/>
        </w:rPr>
        <w:t>In-licensed Patent Rights</w:t>
      </w:r>
      <w:r>
        <w:rPr>
          <w:rFonts w:ascii="Times New Roman" w:cs="Times New Roman" w:eastAsia="Times New Roman" w:hAnsi="Times New Roman"/>
          <w:sz w:val="18"/>
          <w:szCs w:val="18"/>
          <w:color w:val="auto"/>
        </w:rPr>
        <w:t>”) have been duly and properly filed; the Company believes it has complied with its duty of candor and disclosure to the USPTO for the Company Patent Rights and, to the Company’s knowledge, the licensors of the In-licensed Patent Rights have complied with their duty of candor and disclosure to the USPTO for the In-licensed Patent Rights.</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4" w:name="page15"/>
    <w:bookmarkEnd w:id="14"/>
    <w:p>
      <w:pPr>
        <w:jc w:val="both"/>
        <w:ind w:left="-460" w:firstLine="644"/>
        <w:spacing w:after="0" w:line="251" w:lineRule="auto"/>
        <w:tabs>
          <w:tab w:leader="none" w:pos="8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 Compliance</w:t>
      </w:r>
      <w:r>
        <w:rPr>
          <w:rFonts w:ascii="Times New Roman" w:cs="Times New Roman" w:eastAsia="Times New Roman" w:hAnsi="Times New Roman"/>
          <w:sz w:val="18"/>
          <w:szCs w:val="18"/>
          <w:color w:val="auto"/>
        </w:rPr>
        <w:t>. To the Company’s knowledge, the Company and each of its Subsidiaries: (A) is and since January 1, 2023, has been in material compliance with all laws, statutes, rules and regulations applicable to the Company and its Subsidiaries and applicable to the ownership, testing, design, development, manufacture, storage, packaging, processing, use, distribution, marketing, labeling, promotion, sale, offer for sale, storage, import, export or disposal of any pharmaceuticals or biohazardous substances, medical devices, diagnostics, materials or any product under development, manufactured or distributed by the Company (including, without limitation, from the FDA, EMA and any other Governmental Entity performing functions similar to those performed by the FDA or EMA)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(B) has not received any FDA Form 483, notice of adverse finding, warning letter, untitled letter, import alert, or other correspondence or notice from the FDA or any other Governmental Entity alleging or asserting material noncompliance with any Applicable Laws or any Governmental Licenses; (C) possesses all Governmental Licenses necessary for the operations as performed by Company or its Subsidiaries upon the execution of this Agreement and such Governmental Licenses are valid and in full force and effect and the Company is not in material violation of any term of any such Governmental Licenses; (D) has not received notice of any claim, action, suit, proceeding, hearing, enforcement, investigation, arbitration or other action from the FDA or any other Governmental Entity or third party alleging any violation of any Applicable Laws or Governmental Licenses and has no knowledge that the FDA or any other Governmental Entity or third party is considering any such claim, litigation, arbitration, action, suit, investigation or proceeding; (E) has not received notice that the FDA or any other Governmental Entity has taken, is taking or intends to take action to limit, suspend, modify or revoke any material Governmental Licenses and has no knowledge that the FDA or any other Governmental Entity is considering such action; and (F) has filed, obtained, maintained or submitted all material reports, documents, forms, notices, applications, records, claims, submissions and supplements or amendments as required by any Applicable Laws or Governmental Licenses and that all such reports, documents, forms, notices, applications, records, claims, submissions and supplements or amendments were materially complete and correct on the date filed (or were corrected or supplemented by a subsequent submission). Neither the Company, any of its Subsidiaries nor, to the Company’s knowledge, any of their respective directors, officers, employees or agents has been convicted of any crime under any Applicable Laws or has been the subject of an FDA debarment or disqualification proceeding or a comparable proceeding of any other Governmental Entity. Neither the Company nor its Subsidiaries has been nor is now subject to the FDA’s Application Integrity Policy. To the Company’s knowledge, neither the Company, any of its Subsidiaries nor any of its directors, officers, employees or agents has made, or caused the making of, any false statements on, or material omissions from, any other records or documentation prepared or maintained to comply with the requirements of the FDA or any other Governmental Entity.</w:t>
      </w:r>
    </w:p>
    <w:p>
      <w:pPr>
        <w:spacing w:after="0" w:line="20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The Company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established or maintained by the Company, or its “ERISA Affiliates” (as defined below) are in compliance in all material respects with ERISA. “</w:t>
      </w:r>
      <w:r>
        <w:rPr>
          <w:rFonts w:ascii="Times New Roman" w:cs="Times New Roman" w:eastAsia="Times New Roman" w:hAnsi="Times New Roman"/>
          <w:sz w:val="18"/>
          <w:szCs w:val="18"/>
          <w:u w:val="single" w:color="auto"/>
          <w:color w:val="auto"/>
        </w:rPr>
        <w:t>ERISA Affiliates</w:t>
      </w:r>
      <w:r>
        <w:rPr>
          <w:rFonts w:ascii="Times New Roman" w:cs="Times New Roman" w:eastAsia="Times New Roman" w:hAnsi="Times New Roman"/>
          <w:sz w:val="18"/>
          <w:szCs w:val="18"/>
          <w:color w:val="auto"/>
        </w:rPr>
        <w:t>” means, with respect to the Company,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5" w:name="page16"/>
    <w:bookmarkEnd w:id="15"/>
    <w:p>
      <w:pPr>
        <w:jc w:val="both"/>
        <w:ind w:left="-460" w:firstLine="644"/>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Non-Solicitation</w:t>
      </w:r>
      <w:r>
        <w:rPr>
          <w:rFonts w:ascii="Times New Roman" w:cs="Times New Roman" w:eastAsia="Times New Roman" w:hAnsi="Times New Roman"/>
          <w:sz w:val="18"/>
          <w:szCs w:val="18"/>
          <w:color w:val="auto"/>
        </w:rPr>
        <w:t>. No director or officer of the Company or any of its Subsidiaries is subject to any non-competition agreement or non-solicitation agreement with any employer or prior employer which could materially affect such director’s or officer’s ability to serve and act in the capacity of a director or officer of the Company or a Subsidiary, as the case may be.</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9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Medicare and Medicaid Programs</w:t>
      </w:r>
      <w:r>
        <w:rPr>
          <w:rFonts w:ascii="Times New Roman" w:cs="Times New Roman" w:eastAsia="Times New Roman" w:hAnsi="Times New Roman"/>
          <w:sz w:val="18"/>
          <w:szCs w:val="18"/>
          <w:color w:val="auto"/>
        </w:rPr>
        <w:t>. To the extent required in connection with their respective businesses as necessary for the operations as performed by Company or its Subsidiaries upon on the execution of this Agreement, each of the Company and its Subsidiaries has the requisite provider number or other authorization to bill the Medicare program and the respective Medicaid program in the state or states in which such entity operates unless failure to maintain such provider number or other authorization could not be expected, individually or in the aggregate, to result in a Material Adverse Effect; neither the Company nor its Subsidiaries is subject to any pending or, to the Company’s knowledge, threatened or contemplated action which could reasonably be expected to result either in a revocation of any provider number or authorization or in the Company’s or any Subsidiary’s exclusion from the Medicare or any state Medicaid programs; the Company’s and each of its Subsidiaries’ business practices have been structured in a manner reasonably designed to comply with the federal or state laws governing Medicare and state Medicaid programs, including, without limitation, Sections 1320a-7a and 1320a-7b of Title 42 of the United States Code, and the Company reasonably believes that it is in compliance with such laws; the Company and its Subsidiaries have taken reasonable actions designed to ensure that they do not: (i) violate the civil False Claims Act (31 U.S.C. §§ 3729-3733) or (ii) allow any individual with an ownership or control interest (as defined in 42 U.S.C. § 1320a-3(a)(3)) in the Company or its Subsidiaries or have any officer, director or managing employee (as defined in 42 U.S.C. § 1320a-5(b)) of the Company or its Subsidiaries who is a person excluded from participation in any federal health care program (as defined in 42 U.S.C. § 1320a-7b(f)) as described in 42 U.S.C. § 1320a-7(b)(8); and the Company and its Subsidiaries have structured their respective businesses practices in a manner reasonably designed to comply with the federal and state laws regarding physician ownership of (or financial relationship with), and referral to, entities providing healthcare-related goods or services, and with laws requiring disclosure of financial interests held by physicians in entities to which they may refer patients for the provisions of healthcare-related goods or services, and the Company reasonably believes that it and its Subsidiaries are in compliance with such laws.</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6" w:name="page17"/>
    <w:bookmarkEnd w:id="16"/>
    <w:p>
      <w:pPr>
        <w:jc w:val="both"/>
        <w:ind w:left="-460" w:firstLine="644"/>
        <w:spacing w:after="0" w:line="251" w:lineRule="auto"/>
        <w:tabs>
          <w:tab w:leader="none" w:pos="8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The Company and its Subsidiaries have operated and currently is in compliance with all applicable health care laws, rules and regulations (except where such failure to operate or non-compliance could not reasonably be expected, individually or in the aggregate, to have a Material Adverse Effect), including, without limitation, (i) the Federal, Food, Drug and Cosmetic Act (21 U.S.C. §§ 301 et seq.) and the rules and regulations promulgated thereunder (collectively, the “</w:t>
      </w:r>
      <w:r>
        <w:rPr>
          <w:rFonts w:ascii="Times New Roman" w:cs="Times New Roman" w:eastAsia="Times New Roman" w:hAnsi="Times New Roman"/>
          <w:sz w:val="18"/>
          <w:szCs w:val="18"/>
          <w:u w:val="single" w:color="auto"/>
          <w:color w:val="auto"/>
        </w:rPr>
        <w:t>FFDCA</w:t>
      </w:r>
      <w:r>
        <w:rPr>
          <w:rFonts w:ascii="Times New Roman" w:cs="Times New Roman" w:eastAsia="Times New Roman" w:hAnsi="Times New Roman"/>
          <w:sz w:val="18"/>
          <w:szCs w:val="18"/>
          <w:color w:val="auto"/>
        </w:rPr>
        <w:t>”); (ii) all applicable healthcare related fraud and abuse laws, including, without limitation, the federal Anti-kickback Statute (42 U.S.C. § 1320a-7b(b)), the U.S. Physician Payments Sunshine Act (42 U.S.C. § 1320a-7h), the civil False Claims Act (31 U.S.C. §§ 3729 et seq.), the criminal False Claims Law (42 U.S.C. § 1320a-7b(a)), all criminal laws relating to healthcare fraud and abuse, including but not limited to 18 U.S.C. Sections 286 and 287, the healthcare fraud criminal provisions under the U.S. Health Insurance Portability and Accountability Act of 1996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(42 U.S.C. Section 1320d et seq.), the exclusion laws (42 U.S.C. § 1320a-7), and the civil monetary penalties law (42 U.S.C. § 1320a-7a); (iii) HIPAA, as amended by the Health Information Technology for Economic Clinical Health Act (42 U.S.C. Section 17921 et seq.); (iv) Titles XVIII (42 U.S.C. §1395 et seq.) and XIX (42 U.S.C. §1396 et seq.) of the Social Security Act; (v) laws governing the 340B program (42 U.S.C. § 256b) and the VA Federal Supply Schedule (38 U.S.C. § 8126); (vi) the regulations promulgated pursuant to such laws; and (vii) any other similar local, state, federal, or foreign laws and the regulations promulgated thereunder (collectively, the “</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Neither the Company nor its Subsidiaries, nor, to the Company’s knowledge, any of its officers, directors, employees or agents have engaged in activities which are, as applicable, cause for criminal liability, false claims liability, civil penalties, or mandatory or permissive exclusion from Medicare, Medicaid, or any other state or federal healthcare program. The Company and its Subsidiaries have not received written notice or other correspondence of any claim, action, suit, audit, survey, proceeding, hearing, enforcement, investigation, arbitration, inquiry, or other action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from any court or arbitrator or governmental or regulatory authority or third party alleging that any product or Company operation or activity is in violation of any Health Care Laws, and, to the Company’s knowledge, no such claim, action, suit, proceeding, hearing, enforcement, investigation, arbitration or other action is threatened. Each of the Company and its Subsidiaries is not a party to and does not have any ongoing reporting obligations pursuant to any corporate integrity agreement, deferred prosecution agreement, monitoring agreement, consent decree, settlement order, plan of correction or similar agreement imposed by any governmental or regulatory authority. Additionally, neither the Company nor its Subsidiaries, nor any of its employees, officers or directors, nor, to the knowledge of the Company, any of its agents, has been excluded, suspended or debarred from participation in any U.S. state or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20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9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(A) Except for such violations that could not reasonably be expected, individually or in the aggregate, to have a Material Adverse Effect, neither the Company nor any Subsidiary is or has been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natural resources or wildlife, including, without limitation, laws and regulations relating to the release or threatened release of chemicals, pollutants, contaminants, wastes, toxic substances, hazardous substances, per- and polyfluoroalkyl substances, petroleum or petroleum products, asbestos-containing materials or mold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(B) the Company and its Subsidiaries have all permits, authorizations and approvals required under any applicable Environmental Laws and are each in compliance with their requirements, except for such noncompliance that could not reasonably be expected, individually or in the aggregate, to have a Material Adverse Effect (C)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Subsidiary and (D) there are no events or circumstances that would reasonably be expected to form the basis of an order for clean-up or remediation, or an action, suit or proceeding by any private party or Governmental Entity, against or affecting the Company or any Subsidiary relating to Hazardous Materials or any Environmental Laws.</w:t>
      </w:r>
    </w:p>
    <w:p>
      <w:pPr>
        <w:spacing w:after="0" w:line="1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7" w:name="page18"/>
    <w:bookmarkEnd w:id="17"/>
    <w:p>
      <w:pPr>
        <w:jc w:val="both"/>
        <w:ind w:left="-460" w:firstLine="644"/>
        <w:spacing w:after="0" w:line="217" w:lineRule="exact"/>
        <w:tabs>
          <w:tab w:leader="none" w:pos="10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 and Disclosure Controls</w:t>
      </w:r>
      <w:r>
        <w:rPr>
          <w:rFonts w:ascii="Times New Roman" w:cs="Times New Roman" w:eastAsia="Times New Roman" w:hAnsi="Times New Roman"/>
          <w:sz w:val="18"/>
          <w:szCs w:val="18"/>
          <w:color w:val="auto"/>
        </w:rPr>
        <w:t>. The Company and each of its Subsidiaries maintain effective internal control over financial reporting (as defined under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under the Exchange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Since the end of the Company’s most recent fiscal year, there has been (1) no material weakness in the Company’s internal control over financial reporting (whether or not remediated) and (2) no change in the Company’s internal control over financial reporting that has materially adversely affected, or is reasonably likely to materially adversely affect, the Company’s internal control over financial reporting. The Company and each of its Subsidiaries maintain an effective system of disclosure controls and procedures (as defined in Rule 13a-15 and Rule 15d-15 under the Exchange Act Regulations) that are designed to ensure that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20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0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Tests and Preclinical and Clinical Trials</w:t>
      </w:r>
      <w:r>
        <w:rPr>
          <w:rFonts w:ascii="Times New Roman" w:cs="Times New Roman" w:eastAsia="Times New Roman" w:hAnsi="Times New Roman"/>
          <w:sz w:val="18"/>
          <w:szCs w:val="18"/>
          <w:color w:val="auto"/>
        </w:rPr>
        <w:t>. The studies, tests and preclinical and clinical trials conducted by or on behalf of the Company or any of its Subsidiaries, and, to the Company’s knowledge, the studies, tests and preclinical and clinical trials conducted by or on behalf of the Company’s collaborators (“</w:t>
      </w:r>
      <w:r>
        <w:rPr>
          <w:rFonts w:ascii="Times New Roman" w:cs="Times New Roman" w:eastAsia="Times New Roman" w:hAnsi="Times New Roman"/>
          <w:sz w:val="18"/>
          <w:szCs w:val="18"/>
          <w:u w:val="single" w:color="auto"/>
          <w:color w:val="auto"/>
        </w:rPr>
        <w:t>Studies</w:t>
      </w:r>
      <w:r>
        <w:rPr>
          <w:rFonts w:ascii="Times New Roman" w:cs="Times New Roman" w:eastAsia="Times New Roman" w:hAnsi="Times New Roman"/>
          <w:sz w:val="18"/>
          <w:szCs w:val="18"/>
          <w:color w:val="auto"/>
        </w:rPr>
        <w:t>”) were and, if still ongoing, are being conducted in all material respects in accordance with experimental protocols, procedures and controls pursuant to applicable industry standards, including, to the extent applicable, the then-current requirements and standards for the conduct of preclinical studies, including 21 C.F.R. part 58 and the OECD Principles of Good Laboratory Practice and then-current requirements and standards for designing, conducting, recording and reporting clinical trials, including 21 C.F.R. parts 50, 54, 56 and 312 and 812, and the ICH Guideline on good clinical practices E6, and all Governmental Licenses and Applicable Laws, including, without limitation, the FFDCA; the descriptions of the results of such Studies contained in the Registration Statement, the General Disclosure Package and the Prospectus are, to the Company’s knowledge, accurate and complete in all material respects and fairly present the data derived from such Studies; the Company is not aware of any studies, tests or trials, the results of which the Company believes reasonably call into question the Study results described or referred to in the Registration Statement, the General Disclosure Package and the Prospectus when viewed in the context in which such results are described and the clinical state of development; the Company and each of its Subsidiaries has made all filings and obtained all approvals with respect to the Studies as may be required by the FDA or any other Governmental Entity, including any and all approvals of ethics committees and institutional review boards, except as could not reasonably be expected, individually or in the aggregate, to have a Material Adverse Effect; and, the Company has not received any notices or written correspondence from the FDA, any other Governmental Entity or any ethics committee or institutional review board requiring the termination, suspension or modification of any Study, other than ordinary course communications with respect to modifications in connection with the design and implementation of such Studies, copies of which communications have been made available to you. To the Company’s knowledge, there have been no material serious adverse events resulting from any Study, except as disclosed in the Registration Statement, the General Disclosure Package and the Prospectus.</w:t>
      </w:r>
    </w:p>
    <w:p>
      <w:pPr>
        <w:spacing w:after="0" w:line="1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8" w:name="page19"/>
    <w:bookmarkEnd w:id="18"/>
    <w:p>
      <w:pPr>
        <w:jc w:val="both"/>
        <w:ind w:firstLine="644"/>
        <w:spacing w:after="0" w:line="253" w:lineRule="auto"/>
        <w:tabs>
          <w:tab w:leader="none" w:pos="1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All United States federal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in conformity with GAAP. The United States federal income tax returns of the Company through the fiscal year ended December 31, 2025 have been settled and no assessment in connection therewith has been made against the Company. The Company and its Subsidiaries have filed all other tax returns that are required to have been filed by them pursuant to applicable foreign, state, local or other law except insofar as the failure to file such returns could not reasonably be expected, individually or in the aggregate, to have a Material Adverse Effect, and have paid all taxes due pursuant to such returns or pursuant to any assessment received by the Company and its Subsidiaries, except for such taxes, if any, as are being contested in good faith and as to which adequate reserves have been established by the Company. The charges, accruals and reserves on the books of the Company in respect of any income and corporation tax liability, including all federal, state and foreign income and franchise taxes, for any years not finally determined are, in conformity with GAAP, adequate to meet any assessments or re-assessments for additional income tax for any years not finally determined, except to the extent of any inadequacy that could not reasonably be expected, individually or in the aggregate, to have a Material Adverse Effect.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There are no transfer taxes or other similar fees or charges under federal law, the laws of any state, any foreign law, or any political subdivision thereof, required to be paid in connection with the execution and delivery of this Agreement or the issuance or sale by the Company of the Offered Shares.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or its Subsidiaries will not be able (A) to renew its existing insurance coverage as and when such policies expire or (B) to obtain comparable coverage from similar institutions as may be necessary or appropriate to conduct its business as now conducted and at a cost that could not reasonably be expected, individually or in the aggregate, to have a Material Adverse Effect. Neither the Company nor its Subsidiaries has been denied any insurance coverage which it has sought or for which it has applied.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Offered Shares as herein contemplated and the application of the net proceeds therefrom as described in the Registration Statement, the General Disclosure Package and the Prospectus will not be required, to register as an “investment company” under the Investment Company Act of 1940, as amended.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any affiliate of the Company has taken, nor will the Company or any affiliate take, directly or indirectly, any action which is designed, or would be expected, to cause or result in, or which otherwise constitutes, the stabilization or manipulation of the price of any security of the Company to facilitate the sale or resale of the Offered Shares or to result in a violation of Regulation M under the Exchange Act.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9" w:name="page20"/>
    <w:bookmarkEnd w:id="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u w:val="single" w:color="auto"/>
          <w:color w:val="auto"/>
        </w:rPr>
        <w:t>Anti-Bribery Laws</w:t>
      </w:r>
      <w:r>
        <w:rPr>
          <w:rFonts w:ascii="Times New Roman" w:cs="Times New Roman" w:eastAsia="Times New Roman" w:hAnsi="Times New Roman"/>
          <w:sz w:val="18"/>
          <w:szCs w:val="18"/>
          <w:color w:val="auto"/>
        </w:rPr>
        <w:t>. None of the Company, any of its Subsidiaries, or, to the knowledge of the Company, any of their respective directors, officers, agents, employees or affiliates, has taken or will take any action in furtherance of an offer, payment, promise to pay, or authorization or approval of the unlawful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each of its Subsidiaries and, to the Company’s knowledge, each of their respective affiliates have conducted their businesses in compliance with applicable anti-corruption laws. The Company will not directly or indirectly use the proceeds of the sale of the Offered Shares, or lend, contribute or otherwise make available such proceeds in any other manner that will result in a violation by any Person (including any Person participating in the transaction, whether as underwriter, advisor, investor or otherwise) of applicable anti-corruption laws.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(xlv)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None of the Company, its Subsidiaries or, to the knowledge of the Company, any director, officer, agent, employee, affiliate or other person acting on behalf of the Company or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the UK Bribery Act 2010 and any other applicable anti-corruption law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Each of the Company, its Subsidiaries and, to the best of the Company’s knowledge, any director, officer, agent, employee, affiliate or other person acting on behalf of the Company or any of its Subsidiaries or affiliates has conducted its respective business in compliance with the Anti-Corruption Laws and is not aware of any action that would be in violation of Anti-Corruption Laws,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Anti-Corruption Laws; and the Company, its Subsidiaries has and, to the knowledge of the Company, its affiliates have conducted their businesses in compliance with the Anti-Corruption Laws and have instituted and maintain policies and procedures designed to ensure, and which are reasonably expected to continue to ensure, continued compliance therewith. The Company will not directly or indirectly use the proceeds of the sale of the Offered Shares, or lend, contribute or otherwise make available such proceeds in any other manner that will result in a violation by any Person (including any Person participating in the transaction, whether as underwriter, advisor, investor or otherwise) of the Anti-Corruption Laws.</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provisions of the USA Patriot Act of 2001, the Money Laundering Control Act of 1986, the Anti-Money Laundering Act of 2020,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Governmental Entity involving the Company or its Subsidiaries with respect to the Anti-Money Laundering Laws is pending or, to the knowledge of the Company, threatened.</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0" w:name="page21"/>
    <w:bookmarkEnd w:id="2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(xlvii)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Company, its Subsidiaries or, to the knowledge of the Company, any director, officer, agent, employee, affiliate or representative of the Company or its Subsidiaries is an individual or entity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currently the subject or target of any sanctions administered or enforced by the United States Government, including, without limitation, the U.S. Department of the Treasury’s Office of Foreign Assets Control and the U.S. Department of State,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including, without limitation, the so-called Donetsk People’s Republic, the so-called Luhansk People’s Republic, the Crimea Region of Ukraine, the non-government controlled areas of the Zaporizhzhia and Kherson Regions, Cuba, Iran, North Korea and Syria; and the Company will not directly or indirectly use the proceeds of the sale of the Offered Shares, or lend, contribute or otherwise make available such proceeds to any Subsidiary, joint venture partners or other Person, to fund or facilitate any activities of or business with any Person, or in any country or territory, that, at the time of such funding or facilitation, is the subject of Sanctions or in any other manner that will result in a violation by any Person (including any Person participating in the transaction, whether as underwriter, advisor, investor or otherwise) of Sanctions. Since April 24, 2019, the Company and its Subsidiaries have not engaged in and are not now engaged in any dealings or transactions with any person or entity, or in any country or territory, that at the time of the dealing or transaction is or was the subject of Sanctions.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(xlviii) </w:t>
      </w:r>
      <w:r>
        <w:rPr>
          <w:rFonts w:ascii="Times New Roman" w:cs="Times New Roman" w:eastAsia="Times New Roman" w:hAnsi="Times New Roman"/>
          <w:sz w:val="18"/>
          <w:szCs w:val="18"/>
          <w:u w:val="single" w:color="auto"/>
          <w:color w:val="auto"/>
        </w:rPr>
        <w:t>Outbound Investments</w:t>
      </w:r>
      <w:r>
        <w:rPr>
          <w:rFonts w:ascii="Times New Roman" w:cs="Times New Roman" w:eastAsia="Times New Roman" w:hAnsi="Times New Roman"/>
          <w:sz w:val="18"/>
          <w:szCs w:val="18"/>
          <w:color w:val="auto"/>
        </w:rPr>
        <w:t>. Neither the Company nor any of its subsidiaries is a “covered foreign person,” as that term is defined in 31 C.F.R. § 850.209. Neither the Company nor any of its subsidiaries currently engages, or has plans to engage, directly or indirectly, in a “covered activity” or “covered transaction,” as such terms are defined in 31 C.F.R. § 850.208 and 31 C.F.R. § 850.209, respectively, any other activity that would cause the Underwriters to be in violation of the Outbound Investment Rules or cause the Underwriters to be legally prohibited by the Outbound Investment Rules from performing under this Agreement (“</w:t>
      </w:r>
      <w:r>
        <w:rPr>
          <w:rFonts w:ascii="Times New Roman" w:cs="Times New Roman" w:eastAsia="Times New Roman" w:hAnsi="Times New Roman"/>
          <w:sz w:val="18"/>
          <w:szCs w:val="18"/>
          <w:u w:val="single" w:color="auto"/>
          <w:color w:val="auto"/>
        </w:rPr>
        <w:t>Covered Activity</w:t>
      </w:r>
      <w:r>
        <w:rPr>
          <w:rFonts w:ascii="Times New Roman" w:cs="Times New Roman" w:eastAsia="Times New Roman" w:hAnsi="Times New Roman"/>
          <w:sz w:val="18"/>
          <w:szCs w:val="18"/>
          <w:color w:val="auto"/>
        </w:rPr>
        <w:t>”).  Neither the Company nor any of its subsidiaries is a “covered foreign person,” as that term is defined in 31 C.F.R. § 850.209.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For the purpose of this Agreement, “Outbound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§850.101 et seq.</w:t>
      </w:r>
    </w:p>
    <w:p>
      <w:pPr>
        <w:spacing w:after="0" w:line="190"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(xlix) </w:t>
      </w: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 does not have any material lending or other relationship with any banking or lending affiliate of any Underwriter and (ii) does not intend to use any of the proceeds from the sale of the Offered Shares to repay any outstanding debt owed to any affiliate of any Underwriter.</w:t>
      </w:r>
    </w:p>
    <w:p>
      <w:pPr>
        <w:spacing w:after="0" w:line="175" w:lineRule="exact"/>
        <w:rPr>
          <w:sz w:val="20"/>
          <w:szCs w:val="20"/>
          <w:color w:val="auto"/>
        </w:rPr>
      </w:pPr>
    </w:p>
    <w:p>
      <w:pPr>
        <w:ind w:left="1000" w:hanging="356"/>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Bankruptcy Proceeding</w:t>
      </w:r>
      <w:r>
        <w:rPr>
          <w:rFonts w:ascii="Times New Roman" w:cs="Times New Roman" w:eastAsia="Times New Roman" w:hAnsi="Times New Roman"/>
          <w:sz w:val="18"/>
          <w:szCs w:val="18"/>
          <w:color w:val="auto"/>
        </w:rPr>
        <w:t>. The Company is not in or subject to a bankruptcy or insolvency proceeding in any jurisdiction.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(li) </w:t>
      </w:r>
      <w:r>
        <w:rPr>
          <w:rFonts w:ascii="Times New Roman" w:cs="Times New Roman" w:eastAsia="Times New Roman" w:hAnsi="Times New Roman"/>
          <w:sz w:val="18"/>
          <w:szCs w:val="18"/>
          <w:u w:val="single" w:color="auto"/>
          <w:color w:val="auto"/>
        </w:rPr>
        <w:t>Maintenance of Rating</w:t>
      </w:r>
      <w:r>
        <w:rPr>
          <w:rFonts w:ascii="Times New Roman" w:cs="Times New Roman" w:eastAsia="Times New Roman" w:hAnsi="Times New Roman"/>
          <w:sz w:val="18"/>
          <w:szCs w:val="18"/>
          <w:color w:val="auto"/>
        </w:rPr>
        <w:t>. The Company has no debt securities or preferred stock that is rated by any “nationally recognized statistical rating organization” (as that term is defined by the Commission for purposes of Rule 436(g)(2) under the Securities Act).</w:t>
      </w:r>
    </w:p>
    <w:p>
      <w:pPr>
        <w:spacing w:after="0" w:line="16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1" w:name="page22"/>
    <w:bookmarkEnd w:id="2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(lii) </w:t>
      </w:r>
      <w:r>
        <w:rPr>
          <w:rFonts w:ascii="Times New Roman" w:cs="Times New Roman" w:eastAsia="Times New Roman" w:hAnsi="Times New Roman"/>
          <w:sz w:val="18"/>
          <w:szCs w:val="18"/>
          <w:u w:val="single" w:color="auto"/>
          <w:color w:val="auto"/>
        </w:rPr>
        <w:t>Privacy and Data Protection</w:t>
      </w:r>
      <w:r>
        <w:rPr>
          <w:rFonts w:ascii="Times New Roman" w:cs="Times New Roman" w:eastAsia="Times New Roman" w:hAnsi="Times New Roman"/>
          <w:sz w:val="18"/>
          <w:szCs w:val="18"/>
          <w:color w:val="auto"/>
        </w:rPr>
        <w:t>. The Company and its Subsidiaries have at all times protected and maintained the confidentiality and integrity of all personal information, protected health information, consumer information and any other confidential or proprietary information of the Company, its Subsidiaries or any third parties in its possession or under its control (collectively, “</w:t>
      </w:r>
      <w:r>
        <w:rPr>
          <w:rFonts w:ascii="Times New Roman" w:cs="Times New Roman" w:eastAsia="Times New Roman" w:hAnsi="Times New Roman"/>
          <w:sz w:val="18"/>
          <w:szCs w:val="18"/>
          <w:u w:val="single" w:color="auto"/>
          <w:color w:val="auto"/>
        </w:rPr>
        <w:t>Company Data</w:t>
      </w:r>
      <w:r>
        <w:rPr>
          <w:rFonts w:ascii="Times New Roman" w:cs="Times New Roman" w:eastAsia="Times New Roman" w:hAnsi="Times New Roman"/>
          <w:sz w:val="18"/>
          <w:szCs w:val="18"/>
          <w:color w:val="auto"/>
        </w:rPr>
        <w:t>”). The Company and its Subsidiaries have been in compliance in all material respects with all privacy, data security and data protection laws, rules, regulations, guidelines and industry self-regulatory principles applicable (if any) to the Company’s collection, use, processing, transfer, protection, disposal, disclosure, handling, storage and analysis of Company Data, including any internal- or external-facing policies and procedures or contractual obligations related thereto (collectively, “</w:t>
      </w:r>
      <w:r>
        <w:rPr>
          <w:rFonts w:ascii="Times New Roman" w:cs="Times New Roman" w:eastAsia="Times New Roman" w:hAnsi="Times New Roman"/>
          <w:sz w:val="18"/>
          <w:szCs w:val="18"/>
          <w:u w:val="single" w:color="auto"/>
          <w:color w:val="auto"/>
        </w:rPr>
        <w:t>Data Protection Requirements</w:t>
      </w:r>
      <w:r>
        <w:rPr>
          <w:rFonts w:ascii="Times New Roman" w:cs="Times New Roman" w:eastAsia="Times New Roman" w:hAnsi="Times New Roman"/>
          <w:sz w:val="18"/>
          <w:szCs w:val="18"/>
          <w:color w:val="auto"/>
        </w:rPr>
        <w:t>”). The Company has provided all requisite notices and obtained any required consents, and satisfied any other requirements necessary for the lawful processing of Company Data as currently conducted and in relation to the consummation of the proposed transaction. The Company and its Subsidiaries have implemented and maintain reasonable and appropriate administrative, technical, and physical measures consistent with the state of the art for the industry in which the Company operates to comply with Data Protection Requirements. The tangible and digital information technology systems (including computers, devices, mobile services, screens, servers, workstations, routers, hubs, switches, networks, data communications lines, technical data, equipment and hardware), software and telecommunications systems used or held for use by the Company and its Subsidiaries (the “</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are adequate and operate, in accordance with their documentation and functional specifications to support the business of the Company and its Subsidiaries, now and as envisaged in the Registration Statement, the General Disclosure Package and the Prospectus. No Company IT Assets contain any virus, “time bomb”, “back door”, “trap door”, Trojan horse, spyware, keylogger software, worm or other software routines, faults, malicious code, damaging devices, or hardware components designed to permit misuse of Company IT Assets or any data thereon. The Company and its Subsidiaries have established commercially reasonable disaster recovery and security plans, procedures and facilities for the business consistent with industry standards and practices in all material respects, including, without limitation, for the Company IT Assets and Company Data. The Company and its Subsidiaries have not suffered or incurred any actual or reasonably suspected security breach, compromise or other incident resulting in the unauthorized access, acquisition, interruption, alteration, modification, loss, theft, corruption or use of any Company IT Asset or Company Data (“</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except where such Security Incident could not reasonably be expected, individually or in the aggregate, to result in a Material Adverse Effect. The Company and its Subsidiaries have not been required to notify (nor voluntarily notified) any individual or governmental authority of any Security Incident, and there is not currently, nor has there ever been, any pending or threatened action, proceeding, investigation, suit or claim against the Company with respect to the Company’s compliance with Data Protection Requirements or its processing of Company Data.</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(liii) </w:t>
      </w:r>
      <w:r>
        <w:rPr>
          <w:rFonts w:ascii="Times New Roman" w:cs="Times New Roman" w:eastAsia="Times New Roman" w:hAnsi="Times New Roman"/>
          <w:sz w:val="18"/>
          <w:szCs w:val="18"/>
          <w:u w:val="single" w:color="auto"/>
          <w:color w:val="auto"/>
        </w:rPr>
        <w:t>No Broker Fees</w:t>
      </w:r>
      <w:r>
        <w:rPr>
          <w:rFonts w:ascii="Times New Roman" w:cs="Times New Roman" w:eastAsia="Times New Roman" w:hAnsi="Times New Roman"/>
          <w:sz w:val="18"/>
          <w:szCs w:val="18"/>
          <w:color w:val="auto"/>
        </w:rPr>
        <w:t>. There are no contracts, agreements or understandings between the Company and any person that would give rise to a valid claim against the Company or any Underwriter for a brokerage commission, finder’s fee or other like payment in connection with the offering of the Offered Shares contemplated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(liv) </w:t>
      </w: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Offered Shares nor the application of the proceeds thereof by the Company as described in the Registration Statement, the General Disclosure Package and the Prospectus will violate Regulation T, U or X of the Board of Governors of the Federal Reserve System or any other regulation of such Board of Governors.</w:t>
      </w:r>
    </w:p>
    <w:p>
      <w:pPr>
        <w:spacing w:after="0" w:line="1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2" w:name="page23"/>
    <w:bookmarkEnd w:id="22"/>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(lv) </w:t>
      </w:r>
      <w:r>
        <w:rPr>
          <w:rFonts w:ascii="Times New Roman" w:cs="Times New Roman" w:eastAsia="Times New Roman" w:hAnsi="Times New Roman"/>
          <w:sz w:val="18"/>
          <w:szCs w:val="18"/>
          <w:u w:val="single" w:color="auto"/>
          <w:color w:val="auto"/>
        </w:rPr>
        <w:t>Forward-Looking Statement</w:t>
      </w:r>
      <w:r>
        <w:rPr>
          <w:rFonts w:ascii="Times New Roman" w:cs="Times New Roman" w:eastAsia="Times New Roman" w:hAnsi="Times New Roman"/>
          <w:sz w:val="18"/>
          <w:szCs w:val="18"/>
          <w:color w:val="auto"/>
        </w:rPr>
        <w:t>. Each financial or operational projection or other “forward-looking statement” (as defined by Section 27A of the Securities Act or Section 21E of the Exchange Act) contained in the Registration Statement, the General Disclosure Package and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(lvi) </w:t>
      </w: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industry-related and market-related data included or incorporated by reference in the Registration Statement, the General Disclosure Package or the Prospectus were obtained or derived from sources that the Company, reasonably and in good faith believes are reliable and accurate, such data are consistent with the sources from which they are derived, and, to the extent required, the Company has obtained the written consent to the use of such data from such sources.</w:t>
      </w:r>
    </w:p>
    <w:p>
      <w:pPr>
        <w:spacing w:after="0" w:line="178" w:lineRule="exact"/>
        <w:rPr>
          <w:sz w:val="20"/>
          <w:szCs w:val="20"/>
          <w:color w:val="auto"/>
        </w:rPr>
      </w:pPr>
    </w:p>
    <w:p>
      <w:pPr>
        <w:ind w:firstLine="656"/>
        <w:spacing w:after="0" w:line="284" w:lineRule="auto"/>
        <w:tabs>
          <w:tab w:leader="none" w:pos="10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Certificates</w:t>
      </w:r>
      <w:r>
        <w:rPr>
          <w:rFonts w:ascii="Times New Roman" w:cs="Times New Roman" w:eastAsia="Times New Roman" w:hAnsi="Times New Roman"/>
          <w:sz w:val="18"/>
          <w:szCs w:val="18"/>
          <w:color w:val="auto"/>
        </w:rPr>
        <w:t>. Any certificate signed by any officer of the Company or any of its Subsidiaries delivered to the Representative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for the Underwriters shall be deemed a representation and warranty by the Company to each Underwriter as to the matters covered thereby.</w:t>
      </w:r>
    </w:p>
    <w:p>
      <w:pPr>
        <w:spacing w:after="0" w:line="16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Sale and Delivery to Underwriters; Closing</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56" w:lineRule="auto"/>
        <w:tabs>
          <w:tab w:leader="none" w:pos="10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Firm Shares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agrees to issue and sell to the several Underwriters an aggregate of 5,714,286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plus any additional number of Firm Shares which such Underwriter may become obligated to purchase pursuant to the provisions of Section 10 hereof, subject, in each case, to such adjustments among the Underwriters as the Representative in its sole discretion shall make to eliminate any sales or purchases of fractional shares. The purchase price per Firm Share to be paid by the several Underwriters to the Company shall be $3.29 per share.</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11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Shares</w:t>
      </w:r>
      <w:r>
        <w:rPr>
          <w:rFonts w:ascii="Times New Roman" w:cs="Times New Roman" w:eastAsia="Times New Roman" w:hAnsi="Times New Roman"/>
          <w:sz w:val="18"/>
          <w:szCs w:val="18"/>
          <w:color w:val="auto"/>
        </w:rPr>
        <w:t>. In addition, on the basis of the representations and warranties herein contained and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set forth, the Company hereby grants an option to the several Underwriters to purchase, severally and not jointly, up to an aggregate of 857,142 Optional Shares from the Company at the purchase price per share to be paid by the Underwriters for the Firm Shares, less an amount per share equal to any dividend or distribution declared by the Company and payable on the Firm Shares but not payable on Optional Shares. The option hereby granted may be exercised for 30 days after the date hereof and may be exercised in whole or in part at any time from time to time upon notice by the Representatives to the Company setting forth the number of Optional Shares as to which the several Underwriters are then exercising the option and the time and date of payment and delivery for such Optional Shares. Any such time and date of delivery (a “</w:t>
      </w:r>
      <w:r>
        <w:rPr>
          <w:rFonts w:ascii="Times New Roman" w:cs="Times New Roman" w:eastAsia="Times New Roman" w:hAnsi="Times New Roman"/>
          <w:sz w:val="18"/>
          <w:szCs w:val="18"/>
          <w:u w:val="single" w:color="auto"/>
          <w:color w:val="auto"/>
        </w:rPr>
        <w:t>Date of Delivery</w:t>
      </w:r>
      <w:r>
        <w:rPr>
          <w:rFonts w:ascii="Times New Roman" w:cs="Times New Roman" w:eastAsia="Times New Roman" w:hAnsi="Times New Roman"/>
          <w:sz w:val="18"/>
          <w:szCs w:val="18"/>
          <w:color w:val="auto"/>
        </w:rPr>
        <w:t xml:space="preserve">”) shall be determined by the Representative, but any Date of Delivery after the Closing Time shall not be later than seven full business days nor earlier than one full business day after the exercise of said option, nor in any event prior to the Closing Time. If the option is exercised as to all or any portion of the Optional Shares, each of the Underwriters, acting severally and not jointly, will purchase that proportion of the total number of Optional Shares then being purchased which the number of Firm Shares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Firm Shares, subject, in each case, to such adjustments as the Representative in its sole discretion shall make to eliminate any sales or purchases of fractional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ind w:firstLine="656"/>
        <w:spacing w:after="0" w:line="257" w:lineRule="auto"/>
        <w:tabs>
          <w:tab w:leader="none" w:pos="10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the Firm Shares to be sold by the Company shall be made by wire transfer in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funds to the account specified by the Company to the Representative, in each case at the offices of Duane Morris LLP, or at such other place as shall be agreed upon by the Representative and the Company, at 10:00 A.M. (New York City time) on June 4, 2026 (unless postponed in accordance with the provisions of Section 10), or such other time not later than ten business days after such date as shall be agreed upon by the Representative and the Company (such time and date of payment and delivery being herein called “</w:t>
      </w:r>
      <w:r>
        <w:rPr>
          <w:rFonts w:ascii="Times New Roman" w:cs="Times New Roman" w:eastAsia="Times New Roman" w:hAnsi="Times New Roman"/>
          <w:sz w:val="18"/>
          <w:szCs w:val="18"/>
          <w:u w:val="single" w:color="auto"/>
          <w:color w:val="auto"/>
        </w:rPr>
        <w:t>Closing Time</w:t>
      </w:r>
      <w:r>
        <w:rPr>
          <w:rFonts w:ascii="Times New Roman" w:cs="Times New Roman" w:eastAsia="Times New Roman" w:hAnsi="Times New Roman"/>
          <w:sz w:val="18"/>
          <w:szCs w:val="18"/>
          <w:color w:val="auto"/>
        </w:rPr>
        <w:t>”). Delivery of the Firm Shares at the Closing Time shall be made through the facilities of The Depository Trust Company unless the Representative shall otherwise instruct.</w:t>
      </w:r>
    </w:p>
    <w:p>
      <w:pPr>
        <w:spacing w:after="0" w:line="184"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In addition, in the event that any or all of the Optional Shares are purchased by the Underwriters, payment of the purchase price for such Optional Shares to be sold by the Company shall be made by wire transfer in immediately available funds to the account specified by the Company to the Representative, in each case, at the above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mentioned offices, or at such other place as shall be agreed upon by the Representative and the Company, on each Date of Delivery as specified in the notice from the Representative to the Company. Delivery of the Optional Shares on each such Date of Delivery shall be made through the facilities of The Depository Trust Company unless the Representative shall otherwise instruct. The Representative may cancel the option at any time prior to its expiration by giving written notice of such cancellation to the Company.</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understood that each Underwriter has authorized the Representative, for its account, to accept delivery of, receipt for, and make payment of the purchase price for, the Firm Shares and the Optional Shares, if any, which it has agreed to purchase. BTIG, individually and not as representative of the Underwriters, may (but shall not be obligated to) make payment of the purchase price for the Firm Shares or the Optional Shares, if any, to be purchased by any Underwriter whose funds have not been received by the Closing Time or the relevant Date of Delivery, as the case may be, but such payment shall not relieve such Underwriter from its obligations hereunder.</w:t>
      </w:r>
    </w:p>
    <w:p>
      <w:pPr>
        <w:spacing w:after="0" w:line="18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223" w:lineRule="exact"/>
        <w:rPr>
          <w:sz w:val="20"/>
          <w:szCs w:val="20"/>
          <w:color w:val="auto"/>
        </w:rPr>
      </w:pPr>
    </w:p>
    <w:p>
      <w:pPr>
        <w:jc w:val="both"/>
        <w:ind w:firstLine="656"/>
        <w:spacing w:after="0" w:line="269" w:lineRule="auto"/>
        <w:tabs>
          <w:tab w:leader="none" w:pos="102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Compliance with Securities Regulations and Commission Requests</w:t>
      </w:r>
      <w:r>
        <w:rPr>
          <w:rFonts w:ascii="Times New Roman" w:cs="Times New Roman" w:eastAsia="Times New Roman" w:hAnsi="Times New Roman"/>
          <w:sz w:val="17"/>
          <w:szCs w:val="17"/>
          <w:color w:val="auto"/>
        </w:rPr>
        <w:t>. The Company, subject to Section 3(b), will comply with the requirements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Rule 430B, and will notify the Representative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Offered Shares for offering or sale in any jurisdiction, or of the initiation or threatening of any proceedings for any of such purposes or of any examination pursuant to Section 8(d) or 8(e) of the Securities Act concerning the Registration Statement and (v) if the Company becomes the subject of a proceeding under Section 8A of the Securities Act.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jc w:val="both"/>
        <w:ind w:firstLine="656"/>
        <w:spacing w:after="0" w:line="252" w:lineRule="auto"/>
        <w:tabs>
          <w:tab w:leader="none" w:pos="11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Securities Act, the Securities Act Regulations,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and the Exchange Act Regulations so as to permit the completion of the distribution of the Offered Shares as contemplated in this Agreement and in the Registration Statement, the General Disclosure Package and the Prospectus. If at any time when a prospectus relating to the Offered Shares is (or, but for the exception afforded by Rule 172 under the Securities Act Regulations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would be) required by the Securities Act to be delivered in connection with sales of the Offered Shares,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Securities Act or the Securities Act Regulations, the Company will promptly (A) give the Representative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for the Underwriters shall object. The Company will furnish to the Underwriters such number of copies of such amendment or supplement as the Underwriters may reasonably request. The Company has given the Representative notice of any filings made pursuant to the Exchange Act or the Exchange Act Regulations within 48 hours prior to the Applicable Time; the Company will give the Representative notice of its intention to make any such filing from the Applicable Time to the Closing Time and will furnish the Representative with copies of any such documents a reasonable amount of time prior to such proposed filing, as the case may be, and will not file or use any such document to which the Representative or counsel for the Underwriters shall reasonably object.</w:t>
      </w:r>
    </w:p>
    <w:p>
      <w:pPr>
        <w:spacing w:after="0" w:line="187" w:lineRule="exact"/>
        <w:rPr>
          <w:rFonts w:ascii="Times New Roman" w:cs="Times New Roman" w:eastAsia="Times New Roman" w:hAnsi="Times New Roman"/>
          <w:sz w:val="18"/>
          <w:szCs w:val="18"/>
          <w:color w:val="auto"/>
        </w:rPr>
      </w:pPr>
    </w:p>
    <w:p>
      <w:pPr>
        <w:jc w:val="both"/>
        <w:ind w:firstLine="656"/>
        <w:spacing w:after="0" w:line="223" w:lineRule="exact"/>
        <w:tabs>
          <w:tab w:leader="none" w:pos="11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Company has furnished or will deliver to the Representative and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charge, signed copies of the Registration Statement as originally filed and each amendment thereto (including exhibits filed therewith or incorporated by reference therein and documents incorporated or deemed incorporated by reference therein) and signed copies of all consents and certificates of experts, and will also deliver to the Representative,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t>
      </w:r>
    </w:p>
    <w:p>
      <w:pPr>
        <w:spacing w:after="0" w:line="170" w:lineRule="exact"/>
        <w:rPr>
          <w:rFonts w:ascii="Times New Roman" w:cs="Times New Roman" w:eastAsia="Times New Roman" w:hAnsi="Times New Roman"/>
          <w:sz w:val="18"/>
          <w:szCs w:val="18"/>
          <w:color w:val="auto"/>
        </w:rPr>
      </w:pPr>
    </w:p>
    <w:p>
      <w:pPr>
        <w:jc w:val="both"/>
        <w:ind w:firstLine="656"/>
        <w:spacing w:after="0" w:line="224" w:lineRule="exact"/>
        <w:tabs>
          <w:tab w:leader="none" w:pos="10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each Underwriter, without charge, as many copies of each preliminary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such Underwriter reasonably requested, and the Company hereby consents to the use of such copies for purposes permitted by the Securities Act. The Company will furnish to each Underwriter, without charge, during the period when a prospectus relating to the Offered Shares is (or, but for the exception afforded by Rule 172, would be) required to be delivered under the Securities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jc w:val="both"/>
        <w:ind w:firstLine="656"/>
        <w:spacing w:after="0" w:line="254" w:lineRule="auto"/>
        <w:tabs>
          <w:tab w:leader="none" w:pos="10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commercially reasonable efforts, in cooperation with the Underwriters, to qualify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Shares for offering and sale under (or obtain exemptions from the application of) the applicable securities laws of such states and other jurisdictions (domestic or foreign) as the Representative may designate and to comply with such laws and maintain such qualifications, registrations and exemptions in effect so long as required to complete the distribution of the Offered Shares;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The Company will advise the Representative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8" w:lineRule="exact"/>
        <w:rPr>
          <w:rFonts w:ascii="Times New Roman" w:cs="Times New Roman" w:eastAsia="Times New Roman" w:hAnsi="Times New Roman"/>
          <w:sz w:val="18"/>
          <w:szCs w:val="18"/>
          <w:color w:val="auto"/>
        </w:rPr>
      </w:pPr>
    </w:p>
    <w:p>
      <w:pPr>
        <w:jc w:val="both"/>
        <w:ind w:firstLine="656"/>
        <w:spacing w:after="0" w:line="267" w:lineRule="auto"/>
        <w:tabs>
          <w:tab w:leader="none" w:pos="10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Exchange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as soon as practicable an earning statement for the purposes of, and to provide to the Underwriters the benefits contemplated by, the last paragraph of Section 11(a) of the Securities Act.</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0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Offered Shares in all material respects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specified in the Registration Statement, the General Disclosure Package and the Prospectus under the heading “Use of Proceeds.”</w:t>
      </w:r>
    </w:p>
    <w:p>
      <w:pPr>
        <w:spacing w:after="0" w:line="158"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best efforts to effect and maintain the listing of the Common Shares (including the Offered Shares) on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w:t>
      </w:r>
    </w:p>
    <w:p>
      <w:pPr>
        <w:spacing w:after="0" w:line="204" w:lineRule="exact"/>
        <w:rPr>
          <w:rFonts w:ascii="Times New Roman" w:cs="Times New Roman" w:eastAsia="Times New Roman" w:hAnsi="Times New Roman"/>
          <w:sz w:val="18"/>
          <w:szCs w:val="18"/>
          <w:color w:val="auto"/>
        </w:rPr>
      </w:pPr>
    </w:p>
    <w:p>
      <w:pPr>
        <w:jc w:val="both"/>
        <w:ind w:firstLine="656"/>
        <w:spacing w:after="0" w:line="253" w:lineRule="auto"/>
        <w:tabs>
          <w:tab w:leader="none" w:pos="10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 on Sale of Common Shares</w:t>
      </w:r>
      <w:r>
        <w:rPr>
          <w:rFonts w:ascii="Times New Roman" w:cs="Times New Roman" w:eastAsia="Times New Roman" w:hAnsi="Times New Roman"/>
          <w:sz w:val="18"/>
          <w:szCs w:val="18"/>
          <w:color w:val="auto"/>
        </w:rPr>
        <w:t>. During a period of 60 days from and including the date of the Prospectus, the Company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prior written consent of the Representative (which consent may be withheld in its sole discretion), (i) directly or indirectly, offer, pledge, lend, sell, contract to sell or lend, sell any option or contract to purchase, purchase any option or contract to sell, grant any option, right or warrant to purchase or otherwise transfer or dispose of any Common Shares or any securities convertible into or exercisable or exchangeable for Common Shares or file or confidentially submit any registration statement under the Securities Act with respect to any of the foregoing, (ii) enter into any swap or any other agreement or any transaction that transfers, in whole or in part, directly or indirectly, the economic consequence of ownership of the Common Shares, whether any such swap or transaction described in clause (i) or (ii) above is to be settled by delivery of Common Shares or such other securities, in cash or otherwise, or (iii) publicly announce an intention to effect any such swap, agreement or other transaction described in clauses (i) and (ii). The foregoing sentence shall not apply to (A) the Offered Shares to be sold hereunder; (B) any Common Shares issued by the Company upon the exercise of an option or warrant or the conversion of a convertible security outstanding on the date hereof and referred to in the Registration Statement, the General Disclosure Package and the Prospectus; (C) any Common Shares issued or options to purchase Common Shares granted pursuant to existing awards granted under employee benefit plans of the Company referred to in the Registration Statement, the General Disclosure Package and the Prospectus; (D) any Common Shares issued pursuant to any existing non-employee director stock plan or dividend reinvestment plan referred to in the Registration Statement, the General Disclosure Package and the Prospectus; or (E) the filing by the Company of any registration statement on Form S-8 or a successor form thereto.</w:t>
      </w:r>
    </w:p>
    <w:p>
      <w:pPr>
        <w:spacing w:after="0" w:line="18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Offered Shares is (or, but for the exception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afforded by 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the Offered Shares as may be required under Rule 463 under the Securities Act.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6" w:name="page27"/>
    <w:bookmarkEnd w:id="26"/>
    <w:p>
      <w:pPr>
        <w:jc w:val="both"/>
        <w:ind w:firstLine="656"/>
        <w:spacing w:after="0" w:line="252" w:lineRule="auto"/>
        <w:tabs>
          <w:tab w:leader="none" w:pos="10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The Company agrees that, unless it obtains the prior written consent of the Representative, it will not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offer relating to the Offered Shares that would constitute an Issuer Free Writing Prospectus or that would otherwise constitute a “free writing prospectus,” or a portion thereof, required to be filed by the Company with the Commission or retained by the Company under Rule 433; provided that the Representative will be deemed to have consented to the Issuer Free Writing Prospectuses listed on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 and any “road show that is a written communication” within the meaning of Rule 433(d)(8)(i) that has been reviewed by the Representative. The Company represents that it has treated or agrees that it will treat each such free writing prospectus consented to, or deemed consented to, by the Representative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which has not been superseded or modified,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Issuer Free Writing Prospectus to eliminate or correct such conflict, untrue statement or omission; provided, however, that prior to amending or supplementing any such Issuer Free Writing Prospectus, the Company shall furnish to the Representative for review, a reasonable amount of time prior to the proposed time of filing or use thereof, a copy of such proposed amended or supplemented Issuer Free Writing Prospectus, and the Company shall not file, use or refer to any such amended or supplemented Issuer Free Writing Prospectus without the Representative’s prior written consent.</w:t>
      </w:r>
    </w:p>
    <w:p>
      <w:pPr>
        <w:spacing w:after="0" w:line="193" w:lineRule="exact"/>
        <w:rPr>
          <w:rFonts w:ascii="Times New Roman" w:cs="Times New Roman" w:eastAsia="Times New Roman" w:hAnsi="Times New Roman"/>
          <w:sz w:val="18"/>
          <w:szCs w:val="18"/>
          <w:color w:val="auto"/>
        </w:rPr>
      </w:pPr>
    </w:p>
    <w:p>
      <w:pPr>
        <w:jc w:val="both"/>
        <w:ind w:firstLine="656"/>
        <w:spacing w:after="0" w:line="267" w:lineRule="auto"/>
        <w:tabs>
          <w:tab w:leader="none" w:pos="9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Underwriter Free Writing Prospectuses</w:t>
      </w:r>
      <w:r>
        <w:rPr>
          <w:rFonts w:ascii="Times New Roman" w:cs="Times New Roman" w:eastAsia="Times New Roman" w:hAnsi="Times New Roman"/>
          <w:sz w:val="18"/>
          <w:szCs w:val="18"/>
          <w:color w:val="auto"/>
        </w:rPr>
        <w:t>. The Company shall not take any action that would result in an Underwriter or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required to file with the Commission pursuant to Rule 433(d) a free writing prospectus prepared by or on behalf of such Underwriter that such Underwriter otherwise would not have been required to file thereunder.</w:t>
      </w:r>
    </w:p>
    <w:p>
      <w:pPr>
        <w:spacing w:after="0" w:line="17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Payment of Expenses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52" w:lineRule="auto"/>
        <w:tabs>
          <w:tab w:leader="none" w:pos="10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agrees to pay or cause to be paid all expenses incident to the performance of its obligations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Offered Shares to the Underwriters, including any stock or other transfer taxes and any stamp or other duties payable upon the sale, issuance or delivery of the Offered Shares to the Underwriters, (iv) the fees and disbursements of the Company’s counsel, accountants and other advisors, (v) the qualification or registration (or exemption from the qualification or registration) of the Offered Shares under securities laws in accordance with the provisions of Section 3(e) hereof, including filing fees and the reasonable fees and disbursements of counsel for the Underwriters in connection therewith and in connection with the preparation of a “Blue Sky Survey” and any supplement thereto, (vi) the fees and expenses of any transfer agent or registrar for the Offered Shares, (vii) the costs and expenses of the Company relating to investor presentations on any “road show” undertaken in connection with the marketing of the Offered Shares,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and the cost of aircraft and other transportation chartered in connection with the road show, (viii) the filing fees incident to, and the reasonable fees and disbursements of counsel to the Underwriters in connection with, the review by FINRA of the terms of the sale of the Offered Shares, (ix) the fees and expenses incurred in connection with the listing of the Offered Shares on the Exchange, and (x) the costs and expenses (including, without limitation, any damages or other amounts payable in connection with legal or contractual liability) associated with the reforming of any contracts for sale of the Offered Shares made by the Underwriters caused by a breach of the representation contained in the third sentence of Section 1(a)(ii) and (xi) all costs and expenses of the Underwriters, including the fees and disbursements of counsel for the Underwriters, incurred in connection with this Agreement (for the avoidance of doubt, in addition to any reimbursement of fees and expenses the Underwriters may be entitled to pursuant to Section 6 hereof). Any such amount payable to the Underwriters may be deducted from the purchase price for the Offered Shares.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7" w:name="page28"/>
    <w:bookmarkEnd w:id="27"/>
    <w:p>
      <w:pPr>
        <w:jc w:val="both"/>
        <w:ind w:right="20" w:firstLine="656"/>
        <w:spacing w:after="0" w:line="223" w:lineRule="exact"/>
        <w:tabs>
          <w:tab w:leader="none" w:pos="10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Representative in accordance with the provisions of Section 5, Section 9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10 hereof, the Company shall reimburse the Underwriters for all of their reasonably documented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including the fees and disbursements of counsel for the Underwriters.</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78" w:lineRule="exact"/>
        <w:rPr>
          <w:sz w:val="20"/>
          <w:szCs w:val="20"/>
          <w:color w:val="auto"/>
        </w:rPr>
      </w:pPr>
    </w:p>
    <w:p>
      <w:pPr>
        <w:jc w:val="both"/>
        <w:ind w:firstLine="656"/>
        <w:spacing w:after="0" w:line="256" w:lineRule="auto"/>
        <w:tabs>
          <w:tab w:leader="none" w:pos="10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The Registration Statement, including any Rule 462(b) Registration Statement, has become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at the Closing Time and each Date of Delivery,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the Prospectus and each Issuer Free Writing Prospectus shall have been timely filed with the Commission under the Securities Act (in the case of an Issuer Free Writing Prospectus, to the extent required by Rule 433); and the Company has complied with each request (if any) from the Commission for additional information to the reasonable satisfaction of counsel to the Underwriters.</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10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At the Closing Time and each Date of Delivery, the Representative shall have received the opinion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 assurance letter, each dated the Closing Time, of Cozen O’Connor, counsel for the Company, together with the opinions of the Company’s special counsel for the Company with respect to intellectual property matters, each in form and substance satisfactory to counsel for the Underwriters, together with signed or reproduced copies of each such letter for each of the other Underwriters, in form and substance reasonably satisfactory to the Representative.</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10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At the Closing Time and each Date of Delivery, the Representative shall have received the opinion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 assurance letter, each dated the Closing Time, of Duane Morris LLP, counsel for the Underwriters, together with signed or reproduced copies of such letters for each of the other Underwriters in form and substance satisfactory to the Representative.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8" w:name="page29"/>
    <w:bookmarkEnd w:id="28"/>
    <w:p>
      <w:pPr>
        <w:jc w:val="both"/>
        <w:ind w:firstLine="656"/>
        <w:spacing w:after="0" w:line="254" w:lineRule="auto"/>
        <w:tabs>
          <w:tab w:leader="none" w:pos="105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Certificate</w:t>
      </w:r>
      <w:r>
        <w:rPr>
          <w:rFonts w:ascii="Times New Roman" w:cs="Times New Roman" w:eastAsia="Times New Roman" w:hAnsi="Times New Roman"/>
          <w:sz w:val="18"/>
          <w:szCs w:val="18"/>
          <w:color w:val="auto"/>
        </w:rPr>
        <w:t>. At the Closing Time and each Date of Delivery, there shall not have been, since the date hereof or since the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 shall have received a certificate of the principal executive officer of the Company and of the principal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Securities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8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Comfort Letter</w:t>
      </w:r>
      <w:r>
        <w:rPr>
          <w:rFonts w:ascii="Times New Roman" w:cs="Times New Roman" w:eastAsia="Times New Roman" w:hAnsi="Times New Roman"/>
          <w:sz w:val="18"/>
          <w:szCs w:val="18"/>
          <w:color w:val="auto"/>
        </w:rPr>
        <w:t>. At the time of the execution of this Agreement, the Representative shall have received from each of Weinberg</w:t>
      </w:r>
    </w:p>
    <w:p>
      <w:pPr>
        <w:spacing w:after="0" w:line="29" w:lineRule="exact"/>
        <w:rPr>
          <w:rFonts w:ascii="Times New Roman" w:cs="Times New Roman" w:eastAsia="Times New Roman" w:hAnsi="Times New Roman"/>
          <w:sz w:val="18"/>
          <w:szCs w:val="18"/>
          <w:color w:val="auto"/>
        </w:rPr>
      </w:pPr>
    </w:p>
    <w:p>
      <w:pPr>
        <w:jc w:val="both"/>
        <w:ind w:firstLine="8"/>
        <w:spacing w:after="0" w:line="253" w:lineRule="auto"/>
        <w:tabs>
          <w:tab w:leader="none" w:pos="1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P.A. and Salberg &amp; Company, P.A. a letter, dated such date, in form and substance reasonably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100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and each Date of Delivery, the Representative shall have received from each of Weinberg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P.A. and Salberg &amp; Company, P.A. a letter, dated as of the 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79" w:lineRule="exact"/>
        <w:rPr>
          <w:rFonts w:ascii="Times New Roman" w:cs="Times New Roman" w:eastAsia="Times New Roman" w:hAnsi="Times New Roman"/>
          <w:sz w:val="18"/>
          <w:szCs w:val="18"/>
          <w:color w:val="auto"/>
        </w:rPr>
      </w:pPr>
    </w:p>
    <w:p>
      <w:pPr>
        <w:ind w:firstLine="656"/>
        <w:spacing w:after="0" w:line="284" w:lineRule="auto"/>
        <w:tabs>
          <w:tab w:leader="none" w:pos="107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Offered Shares shall have been approved for listing on the Exchange, subject only to official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issuance.</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05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Objection</w:t>
      </w:r>
      <w:r>
        <w:rPr>
          <w:rFonts w:ascii="Times New Roman" w:cs="Times New Roman" w:eastAsia="Times New Roman" w:hAnsi="Times New Roman"/>
          <w:sz w:val="18"/>
          <w:szCs w:val="18"/>
          <w:color w:val="auto"/>
        </w:rPr>
        <w:t>. FINRA has confirmed that it has not raised any objection with respect to the fairness and reasonableness of the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arrangements relating to the offering of the Offered Shares.</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1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Representative shall have received an agreement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signed by all of the Company’s directors and officers listed on Schedule A-1.</w:t>
      </w:r>
    </w:p>
    <w:p>
      <w:pPr>
        <w:spacing w:after="0" w:line="158" w:lineRule="exact"/>
        <w:rPr>
          <w:rFonts w:ascii="Times New Roman" w:cs="Times New Roman" w:eastAsia="Times New Roman" w:hAnsi="Times New Roman"/>
          <w:sz w:val="18"/>
          <w:szCs w:val="18"/>
          <w:color w:val="auto"/>
        </w:rPr>
      </w:pPr>
    </w:p>
    <w:p>
      <w:pPr>
        <w:jc w:val="both"/>
        <w:ind w:firstLine="656"/>
        <w:spacing w:after="0" w:line="258" w:lineRule="auto"/>
        <w:tabs>
          <w:tab w:leader="none" w:pos="10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and at each Date of Delivery (if any), counsel for the Underwriters shall have been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other documents and opinions as they may reasonably require for the purpose of enabling them to pass upon the issuance and sale of the Offered Shares as herein contemplated, or in order to evidence the accuracy of any of the representations or warranties, or the fulfillment of any of the conditions, herein contained; and all proceedings taken by the Company in connection with the issuance and sale of the Offered Shares as herein contemplated shall be reasonably satisfactory in form and substance to the Representative and counsel for the Underwriters.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8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in the case of any condition to the purchase of Optional Shares on a Date of Delivery which is after the Closing Time, the obligations of the several Underwriters to purchase the relevant Optional Shares, may be terminated by the Representative by notice to the Company at any time at or prior to Closing Time or such Date of Delivery, as the case may be, and such termination shall be without liability of any party to any other party except as provided in Section 4 and except that Sections 1, 4, 6, 7, 8, 14, 16, 17 and 18 shall survive any such termination and remain in full force and effect.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9" w:name="page30"/>
    <w:bookmarkEnd w:id="29"/>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67" w:lineRule="auto"/>
        <w:tabs>
          <w:tab w:leader="none" w:pos="10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 by the Company</w:t>
      </w:r>
      <w:r>
        <w:rPr>
          <w:rFonts w:ascii="Times New Roman" w:cs="Times New Roman" w:eastAsia="Times New Roman" w:hAnsi="Times New Roman"/>
          <w:sz w:val="18"/>
          <w:szCs w:val="18"/>
          <w:color w:val="auto"/>
        </w:rPr>
        <w:t>. The Company agrees to indemnify and hold harmless each Underwriter, its affiliates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 is defined in Rule 501(b) under the Securities Act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its directors, officers, members, partners, employees and selling agents and each person, if any, who controls any Underwriter within the meaning of Section 15 of the Securities Act or Section 20 of the Exchange Act as follows: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0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Offered Shares (“</w:t>
      </w:r>
      <w:r>
        <w:rPr>
          <w:rFonts w:ascii="Times New Roman" w:cs="Times New Roman" w:eastAsia="Times New Roman" w:hAnsi="Times New Roman"/>
          <w:sz w:val="18"/>
          <w:szCs w:val="18"/>
          <w:u w:val="single" w:color="auto"/>
          <w:color w:val="auto"/>
        </w:rPr>
        <w:t>Marketing Materials</w:t>
      </w:r>
      <w:r>
        <w:rPr>
          <w:rFonts w:ascii="Times New Roman" w:cs="Times New Roman" w:eastAsia="Times New Roman" w:hAnsi="Times New Roman"/>
          <w:sz w:val="18"/>
          <w:szCs w:val="18"/>
          <w:color w:val="auto"/>
        </w:rPr>
        <w:t>”), including any roadshow or investor presentations made to investors by the Company (whether in person or electronically), or the omission or alleged omission in any preliminary prospectus, any Issuer Free Writing Prospectus, the General Disclosure Package, the Prospectus (or any amendment or supplement thereto) or in any Marketing Materials of a material fact necessary in order to make the statements therein, in the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6(e) below) any such settlement is effected with the written consent of the Company;</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7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and documented fees and disbursements of counsel chosen by the Representative),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ind w:firstLine="656"/>
        <w:spacing w:after="0" w:line="257" w:lineRule="auto"/>
        <w:tabs>
          <w:tab w:leader="none" w:pos="10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and Officers</w:t>
      </w:r>
      <w:r>
        <w:rPr>
          <w:rFonts w:ascii="Times New Roman" w:cs="Times New Roman" w:eastAsia="Times New Roman" w:hAnsi="Times New Roman"/>
          <w:sz w:val="18"/>
          <w:szCs w:val="18"/>
          <w:color w:val="auto"/>
        </w:rPr>
        <w:t>. Each Underwriter severally agrees to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each of its officers who signed the Registration Statement, and each person, if any, who controls the Company within the meaning of Section 15 of the Securities Act or Section 20 of the Exchange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82" w:lineRule="exact"/>
        <w:rPr>
          <w:rFonts w:ascii="Times New Roman" w:cs="Times New Roman" w:eastAsia="Times New Roman" w:hAnsi="Times New Roman"/>
          <w:sz w:val="18"/>
          <w:szCs w:val="18"/>
          <w:color w:val="auto"/>
        </w:rPr>
      </w:pPr>
    </w:p>
    <w:p>
      <w:pPr>
        <w:jc w:val="both"/>
        <w:ind w:firstLine="656"/>
        <w:spacing w:after="0" w:line="252" w:lineRule="auto"/>
        <w:tabs>
          <w:tab w:leader="none" w:pos="10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Sections 6(a) and 6(b) above, counsel to the indemnified parties shall be selected by the Representative, and, in the case of parties indemnified pursuant to Section 6(c)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5" w:lineRule="exact"/>
        <w:rPr>
          <w:rFonts w:ascii="Times New Roman" w:cs="Times New Roman" w:eastAsia="Times New Roman" w:hAnsi="Times New Roman"/>
          <w:sz w:val="18"/>
          <w:szCs w:val="18"/>
          <w:color w:val="auto"/>
        </w:rPr>
      </w:pPr>
    </w:p>
    <w:p>
      <w:pPr>
        <w:jc w:val="both"/>
        <w:ind w:firstLine="656"/>
        <w:spacing w:after="0" w:line="257" w:lineRule="auto"/>
        <w:tabs>
          <w:tab w:leader="none" w:pos="112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fees and expenses of counsel, such indemnifying party agrees that it shall be liable for any settlement of the nature contemplated by Sections 6(a)(ii) and 6(b)(ii) hereof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Offered Shares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on the one hand, and the Underwriters, on the other hand, in connection with the offering of the Offered Shares pursuant to this Agreement shall be deemed to be in the same respective proportions as the total net proceeds from the offering of the Offered Shares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Offered Shares as set forth on the cover of the Prospectus.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7, no Underwriter shall be required to contribute any amount in excess of the underwriting discounts and commissions received by such Underwriter in connection with the Offered Shares underwritten by it and distributed to the public.</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Securities Act) shall be entitled to contribution from any person who was not guilty of such fraudulent misrepresentation.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Section 7, each person, if any, who controls an Underwriter within the meaning of Section 15 of the Securities Act or Section 20 of the Exchange Act and each Underwriter’s Affiliates, its directors, officers, members, partners, employees and selling agents shall have the same rights to contribution as such Underwriter,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 The Underwriters’ respective obligations to contribute pursuant to this Section 7 are several in proportion to the number of Firm Shares set forth opposite their respective names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not joint.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indemnities, rights of contribution, agreements and other statements contained in this Agreement or in certificates of officers of the Company or any of its Subsidiaries submitted pursuant hereto, shall remain operative and in full force and effect regardless of (i) any investigation made by or on behalf of any Underwriter or its Affiliates its directors, officers, members, partners, employees or selling agents, any person controlling any Underwriter, its officers or directors or any person controlling the Company and (ii) delivery of and payment for the Offered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Termination of Agreement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53" w:lineRule="auto"/>
        <w:tabs>
          <w:tab w:leader="none" w:pos="10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Representative may terminate this Agreement, by notice to the Company, at any time at or prior to the Closing Time (i)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U.S. or international political, financial or economic conditions, in each case the effect of which is such as to make it, in the judgment of the Representative, impracticable or inadvisable to proceed with the completion of the offering or to enforce contracts for the sale of the Offered Shares, (iii) if trading in any securities of the Company has been suspended or materially limited by the Commission or the Exchange, (iv) if trading generally on the NYSE MKT or the New York Stock Exchange or in the Nasdaq Stock Market LLC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87" w:lineRule="exact"/>
        <w:rPr>
          <w:rFonts w:ascii="Times New Roman" w:cs="Times New Roman" w:eastAsia="Times New Roman" w:hAnsi="Times New Roman"/>
          <w:sz w:val="18"/>
          <w:szCs w:val="18"/>
          <w:color w:val="auto"/>
        </w:rPr>
      </w:pPr>
    </w:p>
    <w:p>
      <w:pPr>
        <w:jc w:val="both"/>
        <w:ind w:firstLine="656"/>
        <w:spacing w:after="0" w:line="267" w:lineRule="auto"/>
        <w:tabs>
          <w:tab w:leader="none" w:pos="10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provided in Section 4 hereof, and provided further that Sections 1, 4, 6, 7, 8, 16, 17 and 18 shall survive such termination and remain in full force and effect.</w:t>
      </w:r>
    </w:p>
    <w:p>
      <w:pPr>
        <w:spacing w:after="0" w:line="175"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Default by One or More of the Underwriters</w:t>
      </w:r>
      <w:r>
        <w:rPr>
          <w:rFonts w:ascii="Times New Roman" w:cs="Times New Roman" w:eastAsia="Times New Roman" w:hAnsi="Times New Roman"/>
          <w:sz w:val="18"/>
          <w:szCs w:val="18"/>
          <w:color w:val="auto"/>
        </w:rPr>
        <w:t>. If one or more of the Underwriters shall fail at the Closing Time or a Date of Delivery to purchase the Offered Shares which it or they are obligated to purchase under this Agreement (the “</w:t>
      </w:r>
      <w:r>
        <w:rPr>
          <w:rFonts w:ascii="Times New Roman" w:cs="Times New Roman" w:eastAsia="Times New Roman" w:hAnsi="Times New Roman"/>
          <w:sz w:val="18"/>
          <w:szCs w:val="18"/>
          <w:u w:val="single" w:color="auto"/>
          <w:color w:val="auto"/>
        </w:rPr>
        <w:t>Defaulted Securities</w:t>
      </w:r>
      <w:r>
        <w:rPr>
          <w:rFonts w:ascii="Times New Roman" w:cs="Times New Roman" w:eastAsia="Times New Roman" w:hAnsi="Times New Roman"/>
          <w:sz w:val="18"/>
          <w:szCs w:val="18"/>
          <w:color w:val="auto"/>
        </w:rPr>
        <w:t>”), the Representative shall have the right, within 24 hours thereafter, to make arrangements for one or more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defaulting Underwriters, or any other underwriters, to purchase all, but not less than all, of the Defaulted Securities in such amounts as may be agreed upon and upon the terms herein set forth; if, however, the Representative shall not have completed such arrangements within such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hour period, then:</w:t>
      </w:r>
    </w:p>
    <w:p>
      <w:pPr>
        <w:spacing w:after="0" w:line="171" w:lineRule="exact"/>
        <w:rPr>
          <w:sz w:val="20"/>
          <w:szCs w:val="20"/>
          <w:color w:val="auto"/>
        </w:rPr>
      </w:pPr>
    </w:p>
    <w:p>
      <w:pPr>
        <w:jc w:val="both"/>
        <w:ind w:left="660" w:firstLine="644"/>
        <w:spacing w:after="0" w:line="232" w:lineRule="exact"/>
        <w:tabs>
          <w:tab w:leader="none" w:pos="16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does not exceed 10% of the number of Offered Shares to be purchased on such date, each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defaulting Underwriters shall be obligated, severally and not jointly, to purchase the full amount thereof in the proportions that their respective underwriting obligations hereunder bear to the underwriting obligations of all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defaulting Underwriters, or</w:t>
      </w:r>
    </w:p>
    <w:p>
      <w:pPr>
        <w:spacing w:after="0" w:line="170" w:lineRule="exact"/>
        <w:rPr>
          <w:rFonts w:ascii="Times New Roman" w:cs="Times New Roman" w:eastAsia="Times New Roman" w:hAnsi="Times New Roman"/>
          <w:sz w:val="18"/>
          <w:szCs w:val="18"/>
          <w:color w:val="auto"/>
        </w:rPr>
      </w:pPr>
    </w:p>
    <w:p>
      <w:pPr>
        <w:jc w:val="both"/>
        <w:ind w:left="660" w:firstLine="644"/>
        <w:spacing w:after="0" w:line="220" w:lineRule="exact"/>
        <w:tabs>
          <w:tab w:leader="none" w:pos="17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exceeds 10% of the number of Offered Shares to be purchased on such date, this Agreement or, with respect to any Date of Delivery which occurs after the Closing Time, the obligation of the Underwriters to purchase, and the Company to sell, the Optional Shares to be purchased and sold on such Date of Delivery shall terminate without liability on the part of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defaulting Underwriter, except that Sections 1, 4, 6, 7, 8, 16, 17 and 18 shall survive such termination and remain in full force and effect.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No action taken pursuant to this Section 10 shall relieve any defaulting Underwriter from liability in respect of its default.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Optional Shares, as the case may be, either the (i) Representative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7"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Underwriters shall be directed to BTIG at 65 East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New York, NY 10022, Attention: Robert Dentice, (rdentice@btig.com), with a copy to 350 Bush Street,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San Francisco, CA 94104, Attention: General Counsel (IBLegal@btig.com). Notices to the Company shall be directed to it at 1201 Orange Street, Suite 600, Wilmington, DE 19801, Telephone: (484) 254-6134, Attention: Chief Executive Officer (javitt@nrxpharma.com), with copies to Cozen O’Connor, 3 World Trade Center, 175 Greenwich Street, 55th Floor, Attention: Kevin J. Roggow (KRoggow@cozen.com).</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(a) the purchase and sale of the Offered Shares pursuant to this Agreement, including the determination of the public offering price of the Offered Shares and any related discounts and commissions, is an arm’s-length commercial transaction between them, on the one hand, and the several Underwriters, on the other hand, (b) in connection with the offering of the Offered Shares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Offered Shares or the process leading thereto (irrespective of whether such Underwriter has advised or is currently advising the Company or any of its Subsidiaries on other matters) and no Underwriter has any obligation to the Company with respect to the offering of the Offered Shares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Offered Shares and the Company has consulted its own respective legal, accounting, regulatory and tax advisors to the extent it deemed appropriate.</w:t>
      </w:r>
    </w:p>
    <w:p>
      <w:pPr>
        <w:spacing w:after="0" w:line="192"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13.</w:t>
        <w:tab/>
        <w:t>[Reserved.]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Offered Shares from any Underwriter shall be deemed to be a successor by reason merely of such purchase.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(which may include counterparts delivered by any standard form of telecommunication),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Effect of Headings</w:t>
      </w:r>
      <w:r>
        <w:rPr>
          <w:rFonts w:ascii="Times New Roman" w:cs="Times New Roman" w:eastAsia="Times New Roman" w:hAnsi="Times New Roman"/>
          <w:sz w:val="17"/>
          <w:szCs w:val="17"/>
          <w:color w:val="auto"/>
        </w:rPr>
        <w:t>. The Section headings herein are for convenience only and shall not affect the construction hereof.</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Entire Agreement; Amendment; Waiver</w:t>
      </w:r>
      <w:r>
        <w:rPr>
          <w:rFonts w:ascii="Times New Roman" w:cs="Times New Roman" w:eastAsia="Times New Roman" w:hAnsi="Times New Roman"/>
          <w:sz w:val="18"/>
          <w:szCs w:val="18"/>
          <w:color w:val="auto"/>
        </w:rPr>
        <w:t>. This Agreement supersedes all prior agreements and understandings (whether written or oral) between the Company and the Underwriters, or any of them, with respect to the subject matter hereof. No amendment or waiver of any provision of this Agreement, nor any consent or approval to any departure therefrom, shall in any event be effective unless the same shall be in writing and signed by the parties hereto.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Each of the parties hereto acknowledges that it is a sophisticated business person who was adequately represented by counsel during negotiations regarding the provisions hereof, including, without limitation, the indemnification provisions of ‎Section 6 and</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contribution provisions of Section‎ 7, and is fully informed regarding said provisions. Each of the parties hereto further acknowledges that the provisions of ‎Section 6 and ‎Section 7 hereof fairly allocate the risks in light of the ability of the parties to investigate the Company, its affairs and its business in order to assure that adequate disclosure has been made in the Registration Statement, any preliminary prospectus, the General Disclosure Package, each free writing prospectus and the Prospectus (and any amendments and supplements to the foregoing), as contemplated by the Securities Act and the Exchange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Javitt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Javitt</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BTIG,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Robert Dentice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Robert Dentice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themselves and as Representative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7" w:name="page38"/>
    <w:bookmarkEnd w:id="37"/>
    <w:p>
      <w:pPr>
        <w:ind w:left="5060"/>
        <w:spacing w:after="0"/>
        <w:rPr>
          <w:sz w:val="20"/>
          <w:szCs w:val="20"/>
          <w:color w:val="auto"/>
        </w:rPr>
      </w:pPr>
      <w:r>
        <w:rPr>
          <w:rFonts w:ascii="Times New Roman" w:cs="Times New Roman" w:eastAsia="Times New Roman" w:hAnsi="Times New Roman"/>
          <w:sz w:val="18"/>
          <w:szCs w:val="18"/>
          <w:color w:val="auto"/>
        </w:rPr>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price per share for the Offered Shares shall be $3.50.</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purchase price per share for the Offered Shares to be paid by the several Underwriters shall be $3.29, being an amount equal to the initial public offering price set forth above less $0.21 per share, subject to adjustment in accordance with Section 2(b) for dividends or distributions declared by the Company and payable on the Firm Shares but not payable on the Optional Shares.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Name of Underwriter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Firm Shares</w:t>
            </w:r>
          </w:p>
        </w:tc>
      </w:tr>
      <w:tr>
        <w:trPr>
          <w:trHeight w:val="209"/>
        </w:trPr>
        <w:tc>
          <w:tcPr>
            <w:tcW w:w="96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4,857,143</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Lucid Capital Markets, LLC</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857,143</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96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96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5,714,286</w:t>
            </w:r>
          </w:p>
        </w:tc>
        <w:tc>
          <w:tcPr>
            <w:tcW w:w="100" w:type="dxa"/>
            <w:vAlign w:val="bottom"/>
          </w:tcPr>
          <w:p>
            <w:pPr>
              <w:spacing w:after="0"/>
              <w:rPr>
                <w:sz w:val="21"/>
                <w:szCs w:val="21"/>
                <w:color w:val="auto"/>
              </w:rPr>
            </w:pPr>
          </w:p>
        </w:tc>
      </w:tr>
      <w:tr>
        <w:trPr>
          <w:trHeight w:val="20"/>
        </w:trPr>
        <w:tc>
          <w:tcPr>
            <w:tcW w:w="9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71"/>
        </w:trPr>
        <w:tc>
          <w:tcPr>
            <w:tcW w:w="96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8" w:name="page39"/>
    <w:bookmarkEnd w:id="38"/>
    <w:p>
      <w:pPr>
        <w:jc w:val="center"/>
        <w:ind w:right="-1120"/>
        <w:spacing w:after="0"/>
        <w:rPr>
          <w:sz w:val="20"/>
          <w:szCs w:val="20"/>
          <w:color w:val="auto"/>
        </w:rPr>
      </w:pPr>
      <w:r>
        <w:rPr>
          <w:rFonts w:ascii="Times New Roman" w:cs="Times New Roman" w:eastAsia="Times New Roman" w:hAnsi="Times New Roman"/>
          <w:sz w:val="18"/>
          <w:szCs w:val="18"/>
          <w:color w:val="auto"/>
        </w:rPr>
        <w:t>SCHEDULE A-1</w:t>
      </w:r>
    </w:p>
    <w:p>
      <w:pPr>
        <w:spacing w:after="0" w:line="225"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8"/>
          <w:szCs w:val="18"/>
          <w:u w:val="single" w:color="auto"/>
          <w:color w:val="auto"/>
        </w:rPr>
        <w:t>List of Lock-Up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Abrams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J. Flynn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Chaim Hurvitz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Javitt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Dennis McBride,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Taylor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Casper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Glenn Tyson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39" w:name="page40"/>
    <w:bookmarkEnd w:id="39"/>
    <w:p>
      <w:pPr>
        <w:jc w:val="center"/>
        <w:ind w:right="-591"/>
        <w:spacing w:after="0"/>
        <w:rPr>
          <w:sz w:val="20"/>
          <w:szCs w:val="20"/>
          <w:color w:val="auto"/>
        </w:rPr>
      </w:pPr>
      <w:r>
        <w:rPr>
          <w:rFonts w:ascii="Times New Roman" w:cs="Times New Roman" w:eastAsia="Times New Roman" w:hAnsi="Times New Roman"/>
          <w:sz w:val="18"/>
          <w:szCs w:val="18"/>
          <w:color w:val="auto"/>
        </w:rPr>
        <w:t>SCHEDULE B-1</w:t>
      </w:r>
    </w:p>
    <w:p>
      <w:pPr>
        <w:spacing w:after="0" w:line="225" w:lineRule="exact"/>
        <w:rPr>
          <w:sz w:val="20"/>
          <w:szCs w:val="20"/>
          <w:color w:val="auto"/>
        </w:rPr>
      </w:pPr>
    </w:p>
    <w:p>
      <w:pPr>
        <w:ind w:left="5112"/>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25" w:lineRule="exact"/>
        <w:rPr>
          <w:sz w:val="20"/>
          <w:szCs w:val="20"/>
          <w:color w:val="auto"/>
        </w:rPr>
      </w:pPr>
    </w:p>
    <w:p>
      <w:pPr>
        <w:ind w:left="532" w:hanging="532"/>
        <w:spacing w:after="0"/>
        <w:tabs>
          <w:tab w:leader="none" w:pos="53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5,714,286 Common Shares.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granted an option to the Underwriters, severally and not jointly, to purchase up to an additional 857,142 Common Shares.</w:t>
      </w:r>
    </w:p>
    <w:p>
      <w:pPr>
        <w:spacing w:after="0" w:line="236" w:lineRule="exact"/>
        <w:rPr>
          <w:rFonts w:ascii="Times New Roman" w:cs="Times New Roman" w:eastAsia="Times New Roman" w:hAnsi="Times New Roman"/>
          <w:sz w:val="17"/>
          <w:szCs w:val="17"/>
          <w:color w:val="auto"/>
        </w:rPr>
      </w:pPr>
    </w:p>
    <w:p>
      <w:pPr>
        <w:ind w:left="532" w:hanging="532"/>
        <w:spacing w:after="0"/>
        <w:tabs>
          <w:tab w:leader="none" w:pos="53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per share for the Offered Shares shall be $3.50.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32"/>
          </w:cols>
          <w:pgMar w:left="328" w:top="580" w:right="939" w:bottom="1440" w:gutter="0" w:footer="0" w:header="0"/>
        </w:sectPr>
      </w:pPr>
    </w:p>
    <w:bookmarkStart w:id="40" w:name="page41"/>
    <w:bookmarkEnd w:id="40"/>
    <w:p>
      <w:pPr>
        <w:jc w:val="center"/>
        <w:ind w:right="-1100"/>
        <w:spacing w:after="0"/>
        <w:rPr>
          <w:sz w:val="20"/>
          <w:szCs w:val="20"/>
          <w:color w:val="auto"/>
        </w:rPr>
      </w:pPr>
      <w:r>
        <w:rPr>
          <w:rFonts w:ascii="Times New Roman" w:cs="Times New Roman" w:eastAsia="Times New Roman" w:hAnsi="Times New Roman"/>
          <w:sz w:val="18"/>
          <w:szCs w:val="18"/>
          <w:color w:val="auto"/>
        </w:rPr>
        <w:t>SCHEDULE B-2</w:t>
      </w:r>
    </w:p>
    <w:p>
      <w:pPr>
        <w:spacing w:after="0" w:line="225"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Presentation, as of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41" w:name="page42"/>
    <w:bookmarkEnd w:id="41"/>
    <w:p>
      <w:pPr>
        <w:jc w:val="center"/>
        <w:ind w:right="-768"/>
        <w:spacing w:after="0"/>
        <w:rPr>
          <w:sz w:val="20"/>
          <w:szCs w:val="20"/>
          <w:color w:val="auto"/>
        </w:rPr>
      </w:pPr>
      <w:r>
        <w:rPr>
          <w:rFonts w:ascii="Times New Roman" w:cs="Times New Roman" w:eastAsia="Times New Roman" w:hAnsi="Times New Roman"/>
          <w:sz w:val="18"/>
          <w:szCs w:val="18"/>
          <w:color w:val="auto"/>
        </w:rPr>
        <w:t>SCHEDULE C</w:t>
      </w:r>
    </w:p>
    <w:p>
      <w:pPr>
        <w:spacing w:after="0" w:line="225"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u w:val="single" w:color="auto"/>
          <w:color w:val="auto"/>
        </w:rPr>
        <w:t>List of Subsidiaries</w:t>
      </w:r>
    </w:p>
    <w:p>
      <w:pPr>
        <w:spacing w:after="0" w:line="225" w:lineRule="exact"/>
        <w:rPr>
          <w:sz w:val="20"/>
          <w:szCs w:val="20"/>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HOPE Therapeutics Inc.</w:t>
      </w:r>
    </w:p>
    <w:p>
      <w:pPr>
        <w:spacing w:after="0" w:line="225" w:lineRule="exact"/>
        <w:rPr>
          <w:rFonts w:ascii="Times New Roman" w:cs="Times New Roman" w:eastAsia="Times New Roman" w:hAnsi="Times New Roman"/>
          <w:sz w:val="18"/>
          <w:szCs w:val="18"/>
          <w:color w:val="auto"/>
        </w:rPr>
      </w:pPr>
    </w:p>
    <w:p>
      <w:pPr>
        <w:ind w:left="6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Subsidiaries of HOPE Therapeutics Inc.</w:t>
      </w:r>
    </w:p>
    <w:p>
      <w:pPr>
        <w:spacing w:after="0" w:line="225" w:lineRule="exact"/>
        <w:rPr>
          <w:rFonts w:ascii="Times New Roman" w:cs="Times New Roman" w:eastAsia="Times New Roman" w:hAnsi="Times New Roman"/>
          <w:sz w:val="18"/>
          <w:szCs w:val="18"/>
          <w:color w:val="auto"/>
        </w:rPr>
      </w:pPr>
    </w:p>
    <w:p>
      <w:pPr>
        <w:ind w:left="1788" w:hanging="330"/>
        <w:spacing w:after="0"/>
        <w:tabs>
          <w:tab w:leader="none" w:pos="178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 Medical, LLC</w:t>
      </w:r>
    </w:p>
    <w:p>
      <w:pPr>
        <w:spacing w:after="0" w:line="225" w:lineRule="exact"/>
        <w:rPr>
          <w:rFonts w:ascii="Times New Roman" w:cs="Times New Roman" w:eastAsia="Times New Roman" w:hAnsi="Times New Roman"/>
          <w:sz w:val="18"/>
          <w:szCs w:val="18"/>
          <w:color w:val="auto"/>
        </w:rPr>
      </w:pPr>
    </w:p>
    <w:p>
      <w:pPr>
        <w:ind w:left="1788" w:hanging="330"/>
        <w:spacing w:after="0"/>
        <w:tabs>
          <w:tab w:leader="none" w:pos="178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HTX Management Company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NeuroRx, Inc.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NRx Defense Systems, Inc.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GeNeuro,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377190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580"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Lock-Up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BTIG, LLC</w:t>
      </w:r>
    </w:p>
    <w:p>
      <w:pPr>
        <w:spacing w:after="0" w:line="182" w:lineRule="auto"/>
        <w:rPr>
          <w:sz w:val="20"/>
          <w:szCs w:val="20"/>
          <w:color w:val="auto"/>
        </w:rPr>
      </w:pPr>
      <w:r>
        <w:rPr>
          <w:rFonts w:ascii="Times New Roman" w:cs="Times New Roman" w:eastAsia="Times New Roman" w:hAnsi="Times New Roman"/>
          <w:sz w:val="17"/>
          <w:szCs w:val="17"/>
          <w:color w:val="auto"/>
        </w:rPr>
        <w:t>65 East 55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Proposed Public Offering by NRx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undersigned, an officer and/or director of NRx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an owner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of securities convertible into or exchangeable or exercisable for shares of Common Stock, understands that BTIG, LLC (“</w:t>
      </w:r>
      <w:r>
        <w:rPr>
          <w:rFonts w:ascii="Times New Roman" w:cs="Times New Roman" w:eastAsia="Times New Roman" w:hAnsi="Times New Roman"/>
          <w:sz w:val="18"/>
          <w:szCs w:val="18"/>
          <w:u w:val="single" w:color="auto"/>
          <w:color w:val="auto"/>
        </w:rPr>
        <w:t>BTIG</w:t>
      </w:r>
      <w:r>
        <w:rPr>
          <w:rFonts w:ascii="Times New Roman" w:cs="Times New Roman" w:eastAsia="Times New Roman" w:hAnsi="Times New Roman"/>
          <w:sz w:val="18"/>
          <w:szCs w:val="18"/>
          <w:color w:val="auto"/>
        </w:rPr>
        <w:t>”) proposes to enter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the Company providing for the public offering (the “</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Common Stock. In recognition of the benefit that such an offering will confer upon the undersigned and the Company, and for other good and valuable consideration, the receipt and sufficiency of which are hereby acknowledged, the undersigned agrees with each underwriter to be named in the Underwriting Agreement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that, during the period beginning on the date hereof and ending on the date that is 60 days from the date of the Underwriting Agreement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undersigned will not, without the prior written consent of BTIG, on behalf of the Underwriters, directly or indirectly, (i) offer, pledge, lend, sell, contract to sell or lend, sell any option or contract to purchase, purchase any option or contract to sell, grant any option, right or warrant to purchase, or otherwise transfer or dispose of any shares of Common Stock or any securities convertible into or exercisable or exchangeable for Common Stock,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or exercise any right with respect to the registration of any of the Lock-Up Securities, or file or cause to be filed any registration statement in connection therewith, under the Securities Act of 1933, as amended,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(iii) make any demand for or exercise any right with respect to the registration of any Lock-Up Securities or (iv) otherwise publicly announce any intention to engage in or cause any action, activity, transaction or arrangement described in clause (i), (ii) or (iii) above.</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Lock-Up Securities without the prior written consent of BTIG, provided, in each case, that (1) in the cases of clauses (i)-(v) below, BTIG receives a signed lock-up agreement for the balance of the Lock-Up Period from each donee, trustee, distributee, or transferee, as the case may be, (2) any such transfer shall not involve a disposition for value, (3) except in the case of gifts pursuant to clause (i) below, such transfers are not required to be reported with the Securities and Exchange Commission on Form 4 in accordance with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(4) the undersigned does not otherwise voluntarily effect any public filing or report regarding such transfers (other than a filing on a Form 5 made after the expiration of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2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or in connection with a divorce settlement;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 upon the death of the undersigned;</w:t>
      </w:r>
    </w:p>
    <w:p>
      <w:pPr>
        <w:spacing w:after="0" w:line="225"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(for purposes of this lock-up agreement, “immediate family” which shall have the meaning assigned to it in Rule 16a-1(e) under the Exchange Act);</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or other transfer by a partnership to its partners or former partners or by a limited liability company to its members or retired members or by a corporation to its stockholders or former stockholders or to any wholly-owned subsidiary of such corporation;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affiliates or to any investment fund or other entity controlled or managed by the undersigned;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(vii)to the Company in satisfaction of any tax withholding obligation.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Furthermore, no provision in this letter shall be deemed to restrict or prohibit (1) the transfer of the undersigned’s Lock-Up Securities to the Company in connection with the termination of the undersigned’s services to the Company, provided that any filing under Section 16 of the Exchange Act made in connection with such transfer shall clearly indicate in the footnotes thereto that the filing relates to the circumstances described in this clause (1);</w:t>
      </w:r>
    </w:p>
    <w:p>
      <w:pPr>
        <w:spacing w:after="0" w:line="1" w:lineRule="exact"/>
        <w:rPr>
          <w:sz w:val="20"/>
          <w:szCs w:val="20"/>
          <w:color w:val="auto"/>
        </w:rPr>
      </w:pPr>
    </w:p>
    <w:p>
      <w:pPr>
        <w:jc w:val="both"/>
        <w:ind w:firstLine="8"/>
        <w:spacing w:after="0" w:line="251" w:lineRule="auto"/>
        <w:tabs>
          <w:tab w:leader="none" w:pos="2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exchange by the undersigned of any option or warrant to acquire any shares of Common Stock or options to purchase shares of Common Stock, in each case for cash or on a “cashless” or “net exercise” basis, pursuant to any stock option, stock bonus or other stock plan or arrangement; provided, however, that the underlying shares of Common Stock shall continue to be subject to the restrictions on transfer set forth in this letter and that any filing under Section 16 of the Exchange Act made in connection with such exercise or exchange shall clearly indicate in the footnotes thereto that (a) the filing relates to the circumstances described in this clause (2) and (b) no shares were sold by the reporting person; (3) the transfer of Lock-Up Securities upon the completion of a bona fide third-party tender offer, merger, consolidation or other similar transaction approved by the Company’s Board of Directors and made to all holders of the Company’s securities involving a change of control of the Company; provided, however, that in the event that such tender offer, merger, consolidation or other such transaction is not completed, such securities held by the undersigned shall remain subject to the restrictions on transfer set forth in this letter; and (4) the conversion of outstanding preferred stock of the Company into shares of Common Stock, provided that any such shares received upon such conversion shall be subject to the restrictions on transfer set forth in this letter.</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herein to the contrary, nothing herein shall prevent the undersigned from establishing a 10b5-1 trading plan that complies with Rule 10b5-1 under the Exchange Act (“</w:t>
      </w:r>
      <w:r>
        <w:rPr>
          <w:rFonts w:ascii="Times New Roman" w:cs="Times New Roman" w:eastAsia="Times New Roman" w:hAnsi="Times New Roman"/>
          <w:sz w:val="18"/>
          <w:szCs w:val="18"/>
          <w:u w:val="single" w:color="auto"/>
          <w:color w:val="auto"/>
        </w:rPr>
        <w:t>10b5-1 Trading Plan</w:t>
      </w:r>
      <w:r>
        <w:rPr>
          <w:rFonts w:ascii="Times New Roman" w:cs="Times New Roman" w:eastAsia="Times New Roman" w:hAnsi="Times New Roman"/>
          <w:sz w:val="18"/>
          <w:szCs w:val="18"/>
          <w:color w:val="auto"/>
        </w:rPr>
        <w:t>”) or from amending an existing 10b5-1 Trading Plan so long as there are no sales of Lock-Up Securities under any such 10b5-1 Trading Plan during the Lock-Up Period; provided, however, that any public announcement or filing under the Exchange Act regarding the establishment or amendment of such 10b5-1 Trading Plan shall clearly disclose that no shares of Common Stock shall be disposed by such plan during the duration of the Lock-Up Period.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4" w:name="page45"/>
    <w:bookmarkEnd w:id="4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 This lock-up agreement shall automatically terminate, and the undersigned shall be released from the undersigned’s obligations hereunder, upon the earliest to occur, if any, of (i) prior to the execution of the Underwriting Agreement, the Company advises BTIG in writing that it has determined not to proceed with the Public Offering; (ii), (ii) the Underwriting Agreement is executed but is terminated prior to the closing of the Public Offering (other than the provisions thereof which survive termination), or (iii) June 15, 2026, in the event that the Underwriting Agreement has not been executed by such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ind w:left="53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By:________________________________________</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 signing as custodian,</w:t>
      </w:r>
    </w:p>
    <w:p>
      <w:pPr>
        <w:spacing w:after="0" w:line="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i w:val="1"/>
          <w:iCs w:val="1"/>
          <w:color w:val="auto"/>
        </w:rPr>
        <w:t>trustee, or on behalf of an entity)</w:t>
      </w:r>
    </w:p>
    <w:p>
      <w:pPr>
        <w:sectPr>
          <w:pgSz w:w="11900" w:h="16838" w:orient="portrait"/>
          <w:cols w:equalWidth="0" w:num="1">
            <w:col w:w="9680"/>
          </w:cols>
          <w:pgMar w:left="1440" w:top="1012" w:right="7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294005</wp:posOffset>
            </wp:positionV>
            <wp:extent cx="1200150" cy="394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NRx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1201 Orange Street, Suite 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acted as counsel for NRx Pharmaceuticals,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connection with (a) the Company’s filing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pursuant to Rule 424(b)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of a prospectus supplement, dated June 3, 2026 (the “</w:t>
      </w:r>
      <w:r>
        <w:rPr>
          <w:rFonts w:ascii="Times New Roman" w:cs="Times New Roman" w:eastAsia="Times New Roman" w:hAnsi="Times New Roman"/>
          <w:sz w:val="18"/>
          <w:szCs w:val="18"/>
          <w:i w:val="1"/>
          <w:iCs w:val="1"/>
          <w:color w:val="auto"/>
        </w:rPr>
        <w:t>Prospectus Supplement</w:t>
      </w:r>
      <w:r>
        <w:rPr>
          <w:rFonts w:ascii="Times New Roman" w:cs="Times New Roman" w:eastAsia="Times New Roman" w:hAnsi="Times New Roman"/>
          <w:sz w:val="18"/>
          <w:szCs w:val="18"/>
          <w:color w:val="auto"/>
        </w:rPr>
        <w:t>”), forming part of the registration statement on Form S-3, Registration No. 333-288205, initially filed by the Company with the Commission on June 20, 2025, as thereafter amended or supplemented, and declared effective on December 22, 2025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and (b) an offering of shares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of the Company’s common stock, par value $0.001 per share, to be issued and sold under that certain Underwriting Agreement, dated June 3, 2026 (the “</w:t>
      </w: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between the Company and BTIG, LLC, as representative of the several underwriters listed in Schedule A thereto. The Prospectus Supplement relates to the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rendering the opinion set forth below, we have examined and are familiar with originals or copies, certified or otherwise identified to our satisfaction, of:</w:t>
      </w:r>
    </w:p>
    <w:p>
      <w:pPr>
        <w:spacing w:after="0" w:line="27" w:lineRule="exact"/>
        <w:rPr>
          <w:sz w:val="20"/>
          <w:szCs w:val="20"/>
          <w:color w:val="auto"/>
        </w:rPr>
      </w:pPr>
    </w:p>
    <w:p>
      <w:pPr>
        <w:jc w:val="both"/>
        <w:ind w:firstLine="8"/>
        <w:spacing w:after="0" w:line="253" w:lineRule="auto"/>
        <w:tabs>
          <w:tab w:leader="none" w:pos="2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Certificate of Incorporation of the Company, as in effect on the date hereof, together with all amendments thereto adopted through the date hereof (the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(b) the Amended and Restated Bylaws of the Company, as in effect on the date hereof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(c) the Registration Statement and all exhibits thereto, including the base prospectus contained therein; (d) the Prospectus Supplement; (e) the Underwriting Agreement; and (f) such other documents as we have deemed necessary or appropriate as a basis for the opinion set forth below.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examination, we have assumed: (a) the legal capacity of all natural persons; (b) the genuineness of all signatures; (c) the authenticity of all documents submitted to us as originals; (d) the conformity to original documents of all documents submitted to us as certified or photostatic copies; and (e) the authenticity of the originals of such latter documents. As to any facts material to the opinion expressed herein that we did not independently establish or verify, we have relied upon oral or written statements and representations of officers and other representatives of the Company and others.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upon payment and delivery in accordance with the Underwriting Agreement, the Shares will be validly issued, fully paid and nonassessable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strictly limited to the General Corporation Law of the State of Delaware and the laws of the State of New York (including in each case the rules or regulations promulgated thereunder or pursuant thereto), that a New York lawyer exercising customary professional diligence would reasonably be expected to recognize as being applicable to the Company, the Underwriting Agreement or the transactions governed by the Underwriting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the Prospectus Supplement and may be relied upon by you and by persons entitled to rely upon it pursuant to the applicable provisions of the Securities Act. This opinion letter is limited to the matters stated herein, and no opinion may be implied or inferred beyond the matters expressly stated in this opinion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letter is given as of the date hereof, and we assume no obligation to advise you after the date hereof of facts or circumstances that come to our attention or changes in the law, including judicial or administrative interpretations thereof, that occur which could affect the opinions contained 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601(b)(5) of Regulation S-K promulgated under the Securities Act, and to the reference to our firm’s name contained therein and in the Prospectus Supplement under the heading “Legal Matters.” In giving this consent, we do not thereby admit that we are within the category of persons whose consent is required under Section 7 of the Securities Act or the rules and regulations of the Commission promulgated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COZEN O’CONNOR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Cozen O’Connor</w:t>
      </w:r>
    </w:p>
    <w:p>
      <w:pPr>
        <w:sectPr>
          <w:pgSz w:w="11900" w:h="16838" w:orient="portrait"/>
          <w:cols w:equalWidth="0" w:num="1">
            <w:col w:w="11240"/>
          </w:cols>
          <w:pgMar w:left="320" w:top="11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NRx Pharmaceuticals, Inc. Announces Pricing of Public Offering of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WILMINGTON, Del., June 3, 2026 (GLOBE NEWSWIRE) -- NRx Pharmaceuticals, Inc. (Nasdaq: NRXP) (“NRx Pharmaceuticals” or the “Company”), a clinical-stage biopharmaceutical company, today announced the pricing of an underwritten public offering (the “Offering”) of 5,714,286 shares of its common stock, par value $0.001 per share (“Common Stock”) at a public offering price of $3.50 per share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also granted the underwriters a 30-day option to purchase up to an additional 857,142 shares of Common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proceeds of the Offering will be approximately $20.0 million (or $23.0 million if the underwriter exercises its option to purchase additional shares of Common Stock in full) before deducting underwriting discounts and commissions in the Offering and other estimated expenses payable by the Company. The Offering is expected to close on June 4, 2026, subject to the satisfaction of customary closing conditions. The Company currently intends to use the net proceeds from the Offering for working capital and general corporate purposes to support its growth.</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BTIG, LLC is acting as the lead bookrunning manager for the Offering. Lucid Capital Markets, LLC is acting as joint bookrunning manager for the Offering. The Offering is being made pursuant to an effective shelf registration statement on Form S-3 (File No. 333-288205), including a base prospectus, filed with the U.S. Securities and Exchange Commission (the “SEC”) and declared effective by the SEC on December 22, 2025. A prospectus supplement describing the terms of the Offering will be filed with the SEC and will be available on the SEC’s website located at http://www.sec.gov. Copies of the prospectus supplement and the accompanying base prospectus, when available, may be obtained from BTIG, LLC, at 65 East 55th Street, New York, New York 10022 or by telephone at (212) 593-7555, or by email at ProspectusDelivery@btig.com.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NRx Pharmaceuticals,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NRx Pharmaceuticals, Inc., is a clinical-stage biopharmaceutical company developing therapeutics based on its NMDA platform for the treatment of central nervous system disorders, specifically suicidal depression, chronic pain, and PTSD. The Company is developing NRX-100 (preservative-free intravenous ketamine) and NRX-101, (oral D-cycloserine/lurasidone). NRX-100 has been awarded Fast Track Designation for the treatment of Suicidal ideation in Depression, including Bipolar Depression. NRX-101 has been awarded Breakthrough Therapy Designation for the treatment of suicidal bipolar depression. NRx has filed an Abbreviated New Drug Application (ANDA), and initiated a New Drug Application filing for NRX-100 for the treatment of suicidal ideation in patients with depression, including bipolar depression.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information contained herein includes forward-looking statements within the meaning of Section 21E of the Securities Exchange Act of 1934, as amended, and Section 27A of the Securities Act of 1933, as amended. Forward-looking statements generally include statements that are predictive in nature and depend upon or refer to future events or conditions, and include words such as “may,” “will,” “should,” “would,” “expect,” “plan,” “believe,” “intend,” “look forward,” and other similar expressions among others. Forward-looking statements herein include, but are not limited to, statements regarding the anticipated closing of the Offering and the expected use of the proceeds therefrom. Completion of the Offering is subject to numerous factors, many of which are beyond the Company’s control, including, without limitation, market conditions, failure to satisfy customary closing conditions and the risk factors and other matters set forth in the prospectus supplement and accompanying base prospectus included in the registration statement and the documents incorporated by reference therein. The Company has reported regulatory milestones as they have been achieved but has not predicted the outcome of any future regulatory determination. You should not place undue reliance on forward-looking statements since they involve known and unknown risks, uncertainties and other factors which are, in some cases, beyond the Company’s control and which could, and likely will, materially affect actual results, levels of activity, performance or achievements. Any forward-looking statement reflects the Company’s current views with respect to future events and is subject to these and other risks, including uncertainties and assumptions relating to the Company’s operations, results of operations, growth strategy, and, among other things, liquidity. More detailed information about the Company and the risk factors that may affect the realization of forward-looking statements is set forth in the Company’s most recent Annual Report on Form 10-K, subsequent Quarterly Report on Form 10-Q and other filings with the SEC. Investors and security holders are urged to read these documents free of charge on the SEC’s website at http://www.sec.gov. Except as may be required by applicable law, the Company assumes no obligation to publicly update or revise these forward-looking statements for any reason, or to update the reasons actual results could differ materially from those anticipated in these forward-looking statements, whether as a result of new information, future events or otherwise.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further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Brian Korb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 astr partners</w:t>
      </w:r>
    </w:p>
    <w:p>
      <w:pPr>
        <w:spacing w:after="0" w:line="9" w:lineRule="exact"/>
        <w:rPr>
          <w:sz w:val="20"/>
          <w:szCs w:val="20"/>
          <w:color w:val="auto"/>
        </w:rPr>
      </w:pPr>
    </w:p>
    <w:p>
      <w:pPr>
        <w:ind w:right="9120" w:firstLine="8"/>
        <w:spacing w:after="0" w:line="260" w:lineRule="auto"/>
        <w:tabs>
          <w:tab w:leader="none" w:pos="4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653-5122 brian.korb@astrpartners.com</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NRx Pharmaceuticals, Inc. Announces Closing of $22.3 Million Public Offering of Common Stock and Including Exercise of the Underwriters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Option</w:t>
      </w:r>
    </w:p>
    <w:p>
      <w:pPr>
        <w:spacing w:after="0" w:line="15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Offering was led by B Group Capital with significant participation from, among others, Columbia Threadneedle Investments, Corbets Capital, Venture 76, and Mossrock Capital</w:t>
      </w:r>
    </w:p>
    <w:p>
      <w:pPr>
        <w:spacing w:after="0" w:line="3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WILMINGTON, Del., June 4, 2026 (GLOBE NEWSWIRE) -- NRx Pharmaceuticals, Inc. (Nasdaq: NRXP) (“NRx Pharmaceuticals” or the “Company”), a clinical-stage biopharmaceutical company, today announced the closing of its previously announced underwritten public offering (the “Offering”) of shares of its common stock, par value $0.001 per share (“Common Stock”) at a public offering price of $3.50 per share of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proceeds of the Offering were approximately $22.3 million before deducting underwriting discounts and commissions in the Offering and other estimated expenses payable by the Company, including exercise of the underwriters’ option to purchase additional shares of common stock. The Company currently intends to use the net proceeds from the Offering for working capital and general corporate purposes to support its growth.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at NRx thank the fundamental healthcare investors together with BTIG and Lucid who have placed their trust in us to bring lifesaving drugs to market. In an era where an American dies from suicide every 11 minutes, we feel honored to be part of the potential solution,” said Jonathan Javitt, MD, MPH, Chairman and CEO of NRx Pharmaceuticals.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BTIG, LLC acted as the lead bookrunning manager for the Offering and Lucid Capital Markets, LLC acted as joint bookrunning manager for the Offering. The Offering was made pursuant to an effective shelf registration statement on Form S-3 (File No. 333-288205), including a base prospectus, filed with the U.S. Securities and Exchange Commission (the “SEC”) and declared effective by the SEC on December 22, 2025. Copies of the prospectus supplement and the accompanying base prospectus may be obtained from BTIG, LLC, at 65 East 55th Street, New York, New York 10022 or by telephone at (212) 593-7555, or by email at ProspectusDelivery@btig.com.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NRx Pharmaceuticals,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NRx Pharmaceuticals, Inc., is a clinical-stage biopharmaceutical company developing therapeutics based on its NMDA platform for the treatment of central nervous system disorders, specifically suicidal depression, chronic pain, and PTSD. The Company is developing NRX-100 (preservative-free intravenous ketamine) and NRX-101, (oral D-cycloserine/lurasidone). NRX-100 has been awarded Fast Track Designation for the treatment of Suicidal ideation in Depression, including Bipolar Depression. NRX-101 has been awarded Breakthrough Therapy Designation for the treatment of suicidal bipolar depression. NRx has filed an Abbreviated New Drug Application (ANDA), and initiated a New Drug Application filing for NRX-100 for the treatment of suicidal ideation in patients with depression, including bipolar depression.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contained herein includes forward-looking statements within the meaning of Section 21E of the Securities Exchange Act of 1934, as amended, and Section 27A of the Securities Act of 1933, as amended. Forward-looking statements generally include statements that are predictive in nature and depend upon or refer to future events or conditions, and include words such as “may,” “will,” “should,” “would,” “expect,” “plan,” “believe,” “intend,” “look forward,” and other similar expressions among others. Forward-looking statements herein include, but are not limited to, the expected use of the proceeds from the Offering. The Company has reported regulatory milestones as they have been achieved but has not predicted the outcome of any future regulatory determination. You should not place undue reliance on forward-looking statements since they involve known and unknown risks, uncertainties and other factors which are, in some cases, beyond the Company’s control and which could, and likely will, materially affect actual results, levels of activity, performance or achievements. Any forward-looking statement reflects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8"/>
          <w:szCs w:val="18"/>
          <w:color w:val="auto"/>
        </w:rPr>
        <w:t>Company’s current views with respect to future events and is subject to these and other risks, including uncertainties and assumptions relating to the Company’s operations, results of operations, growth strategy, and, among other things, liquidity. More detailed information about the Company and the risk factors that may affect the realization of forward-looking statements is set forth in the Company’s most recent Annual Report on Form 10-K, subsequent Quarterly Report on Form 10-Q and other filings with the SEC. Investors and security holders are urged to read these documents free of charge on the SEC’s website at http://www.sec.gov. Except as may be required by applicable law, the Company assumes no obligation to publicly update or revise these forward-looking statements for any reason, or to update the reasons actual results could differ materially from those anticipated in these forward-looking statements,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further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Brian Korb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 astr partners (917) 653-5122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brian.korb@astrpartners.com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Letter"/>
      <w:start w:val="1"/>
    </w:lvl>
    <w:lvl w:ilvl="1">
      <w:lvlJc w:val="left"/>
      <w:lvlText w:val="(%2)"/>
      <w:numFmt w:val="lowerLetter"/>
      <w:start w:val="9"/>
    </w:lvl>
  </w:abstractNum>
  <w:abstractNum w:abstractNumId="2">
    <w:nsid w:val="628C895D"/>
    <w:multiLevelType w:val="hybridMultilevel"/>
    <w:lvl w:ilvl="0">
      <w:lvlJc w:val="left"/>
      <w:lvlText w:val="(%1)"/>
      <w:numFmt w:val="lowerRoman"/>
      <w:start w:val="2"/>
    </w:lvl>
  </w:abstractNum>
  <w:abstractNum w:abstractNumId="3">
    <w:nsid w:val="333AB105"/>
    <w:multiLevelType w:val="hybridMultilevel"/>
    <w:lvl w:ilvl="0">
      <w:lvlJc w:val="left"/>
      <w:lvlText w:val="(%1)"/>
      <w:numFmt w:val="lowerRoman"/>
      <w:start w:val="3"/>
    </w:lvl>
  </w:abstractNum>
  <w:abstractNum w:abstractNumId="4">
    <w:nsid w:val="721DA317"/>
    <w:multiLevelType w:val="hybridMultilevel"/>
    <w:lvl w:ilvl="0">
      <w:lvlJc w:val="left"/>
      <w:lvlText w:val="(%1)"/>
      <w:numFmt w:val="lowerRoman"/>
      <w:start w:val="6"/>
    </w:lvl>
  </w:abstractNum>
  <w:abstractNum w:abstractNumId="5">
    <w:nsid w:val="2443A858"/>
    <w:multiLevelType w:val="hybridMultilevel"/>
    <w:lvl w:ilvl="0">
      <w:lvlJc w:val="left"/>
      <w:lvlText w:val="(%1)"/>
      <w:numFmt w:val="lowerRoman"/>
      <w:start w:val="9"/>
    </w:lvl>
  </w:abstractNum>
  <w:abstractNum w:abstractNumId="6">
    <w:nsid w:val="2D1D5AE9"/>
    <w:multiLevelType w:val="hybridMultilevel"/>
    <w:lvl w:ilvl="0">
      <w:lvlJc w:val="left"/>
      <w:lvlText w:val="(%1)"/>
      <w:numFmt w:val="lowerRoman"/>
      <w:start w:val="13"/>
    </w:lvl>
  </w:abstractNum>
  <w:abstractNum w:abstractNumId="7">
    <w:nsid w:val="6763845E"/>
    <w:multiLevelType w:val="hybridMultilevel"/>
    <w:lvl w:ilvl="0">
      <w:lvlJc w:val="left"/>
      <w:lvlText w:val="(%1)"/>
      <w:numFmt w:val="lowerRoman"/>
      <w:start w:val="17"/>
    </w:lvl>
  </w:abstractNum>
  <w:abstractNum w:abstractNumId="8">
    <w:nsid w:val="75A2A8D4"/>
    <w:multiLevelType w:val="hybridMultilevel"/>
    <w:lvl w:ilvl="0">
      <w:lvlJc w:val="left"/>
      <w:lvlText w:val="(%1)"/>
      <w:numFmt w:val="lowerRoman"/>
      <w:start w:val="21"/>
    </w:lvl>
  </w:abstractNum>
  <w:abstractNum w:abstractNumId="9">
    <w:nsid w:val="8EDBDAB"/>
    <w:multiLevelType w:val="hybridMultilevel"/>
    <w:lvl w:ilvl="0">
      <w:lvlJc w:val="left"/>
      <w:lvlText w:val="(%1)"/>
      <w:numFmt w:val="lowerRoman"/>
      <w:start w:val="26"/>
    </w:lvl>
  </w:abstractNum>
  <w:abstractNum w:abstractNumId="10">
    <w:nsid w:val="79838CB2"/>
    <w:multiLevelType w:val="hybridMultilevel"/>
    <w:lvl w:ilvl="0">
      <w:lvlJc w:val="left"/>
      <w:lvlText w:val="(%1)"/>
      <w:numFmt w:val="lowerRoman"/>
      <w:start w:val="29"/>
    </w:lvl>
  </w:abstractNum>
  <w:abstractNum w:abstractNumId="11">
    <w:nsid w:val="4353D0CD"/>
    <w:multiLevelType w:val="hybridMultilevel"/>
    <w:lvl w:ilvl="0">
      <w:lvlJc w:val="left"/>
      <w:lvlText w:val="(%1)"/>
      <w:numFmt w:val="lowerRoman"/>
      <w:start w:val="31"/>
    </w:lvl>
  </w:abstractNum>
  <w:abstractNum w:abstractNumId="12">
    <w:nsid w:val="B03E0C6"/>
    <w:multiLevelType w:val="hybridMultilevel"/>
    <w:lvl w:ilvl="0">
      <w:lvlJc w:val="left"/>
      <w:lvlText w:val="(%1)"/>
      <w:numFmt w:val="lowerRoman"/>
      <w:start w:val="33"/>
    </w:lvl>
  </w:abstractNum>
  <w:abstractNum w:abstractNumId="13">
    <w:nsid w:val="189A769B"/>
    <w:multiLevelType w:val="hybridMultilevel"/>
    <w:lvl w:ilvl="0">
      <w:lvlJc w:val="left"/>
      <w:lvlText w:val="(%1)"/>
      <w:numFmt w:val="lowerRoman"/>
      <w:start w:val="35"/>
    </w:lvl>
  </w:abstractNum>
  <w:abstractNum w:abstractNumId="14">
    <w:nsid w:val="54E49EB4"/>
    <w:multiLevelType w:val="hybridMultilevel"/>
    <w:lvl w:ilvl="0">
      <w:lvlJc w:val="left"/>
      <w:lvlText w:val="(%1)"/>
      <w:numFmt w:val="lowerRoman"/>
      <w:start w:val="37"/>
    </w:lvl>
  </w:abstractNum>
  <w:abstractNum w:abstractNumId="15">
    <w:nsid w:val="71F32454"/>
    <w:multiLevelType w:val="hybridMultilevel"/>
    <w:lvl w:ilvl="0">
      <w:lvlJc w:val="left"/>
      <w:lvlText w:val="(%1)"/>
      <w:numFmt w:val="lowerRoman"/>
      <w:start w:val="39"/>
    </w:lvl>
  </w:abstractNum>
  <w:abstractNum w:abstractNumId="16">
    <w:nsid w:val="2CA88611"/>
    <w:multiLevelType w:val="hybridMultilevel"/>
    <w:lvl w:ilvl="0">
      <w:lvlJc w:val="left"/>
      <w:lvlText w:val="(%1)"/>
      <w:numFmt w:val="lowerLetter"/>
      <w:start w:val="12"/>
    </w:lvl>
  </w:abstractNum>
  <w:abstractNum w:abstractNumId="17">
    <w:nsid w:val="836C40E"/>
    <w:multiLevelType w:val="hybridMultilevel"/>
    <w:lvl w:ilvl="0">
      <w:lvlJc w:val="left"/>
      <w:lvlText w:val="(%1)"/>
      <w:numFmt w:val="lowerLetter"/>
      <w:start w:val="2"/>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3"/>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2"/>
    </w:lvl>
  </w:abstractNum>
  <w:abstractNum w:abstractNumId="22">
    <w:nsid w:val="7C3DBD3D"/>
    <w:multiLevelType w:val="hybridMultilevel"/>
    <w:lvl w:ilvl="0">
      <w:lvlJc w:val="left"/>
      <w:lvlText w:val="(%1)"/>
      <w:numFmt w:val="lowerLetter"/>
      <w:start w:val="5"/>
    </w:lvl>
  </w:abstractNum>
  <w:abstractNum w:abstractNumId="23">
    <w:nsid w:val="737B8DDC"/>
    <w:multiLevelType w:val="hybridMultilevel"/>
    <w:lvl w:ilvl="0">
      <w:lvlJc w:val="left"/>
      <w:lvlText w:val="(%1)"/>
      <w:numFmt w:val="lowerLetter"/>
      <w:start w:val="1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2"/>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amp;"/>
      <w:numFmt w:val="bullet"/>
      <w:start w:val="1"/>
    </w:lvl>
    <w:lvl w:ilvl="1">
      <w:lvlJc w:val="left"/>
      <w:lvlText w:val="(%2)"/>
      <w:numFmt w:val="lowerLetter"/>
      <w:start w:val="4"/>
    </w:lvl>
  </w:abstractNum>
  <w:abstractNum w:abstractNumId="28">
    <w:nsid w:val="614FD4A1"/>
    <w:multiLevelType w:val="hybridMultilevel"/>
    <w:lvl w:ilvl="0">
      <w:lvlJc w:val="left"/>
      <w:lvlText w:val="&amp;"/>
      <w:numFmt w:val="bullet"/>
      <w:start w:val="1"/>
    </w:lvl>
    <w:lvl w:ilvl="1">
      <w:lvlJc w:val="left"/>
      <w:lvlText w:val="(%2)"/>
      <w:numFmt w:val="lowerLetter"/>
      <w:start w:val="6"/>
    </w:lvl>
  </w:abstractNum>
  <w:abstractNum w:abstractNumId="29">
    <w:nsid w:val="419AC241"/>
    <w:multiLevelType w:val="hybridMultilevel"/>
    <w:lvl w:ilvl="0">
      <w:lvlJc w:val="left"/>
      <w:lvlText w:val="(%1)"/>
      <w:numFmt w:val="lowerLetter"/>
      <w:start w:val="1"/>
    </w:lvl>
    <w:lvl w:ilvl="1">
      <w:lvlJc w:val="left"/>
      <w:lvlText w:val="(%2)"/>
      <w:numFmt w:val="lowerRoman"/>
      <w:start w:val="1"/>
    </w:lvl>
  </w:abstractNum>
  <w:abstractNum w:abstractNumId="30">
    <w:nsid w:val="5577F8E1"/>
    <w:multiLevelType w:val="hybridMultilevel"/>
    <w:lvl w:ilvl="0">
      <w:lvlJc w:val="left"/>
      <w:lvlText w:val="(%1)"/>
      <w:numFmt w:val="lowerLetter"/>
      <w:start w:val="2"/>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Roman"/>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
    <w:nsid w:val="7724C67E"/>
    <w:multiLevelType w:val="hybridMultilevel"/>
    <w:lvl w:ilvl="0">
      <w:lvlJc w:val="left"/>
      <w:lvlText w:val="(%1)"/>
      <w:numFmt w:val="lowerRoman"/>
      <w:start w:val="1"/>
    </w:lvl>
  </w:abstractNum>
  <w:abstractNum w:abstractNumId="36">
    <w:nsid w:val="5C482A97"/>
    <w:multiLevelType w:val="hybridMultilevel"/>
    <w:lvl w:ilvl="0">
      <w:lvlJc w:val="left"/>
      <w:lvlText w:val="(%1)"/>
      <w:numFmt w:val="decimal"/>
      <w:start w:val="2"/>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2026-06-04T16:24:07Z</dcterms:created>
  <dcterms:modified xsi:type="dcterms:W3CDTF">2026-06-04T16:24:07Z</dcterms:modified>
</cp:coreProperties>
</file>