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3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quarterly period ended March 31, 2018</w:t>
      </w:r>
    </w:p>
    <w:p>
      <w:pPr>
        <w:spacing w:after="0" w:line="219" w:lineRule="exact"/>
        <w:rPr>
          <w:sz w:val="24"/>
          <w:szCs w:val="24"/>
          <w:color w:val="auto"/>
        </w:rPr>
      </w:pPr>
    </w:p>
    <w:p>
      <w:pPr>
        <w:ind w:left="3640" w:right="2180" w:hanging="3632"/>
        <w:spacing w:after="0" w:line="501" w:lineRule="auto"/>
        <w:tabs>
          <w:tab w:leader="none" w:pos="241"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 to __________</w:t>
      </w:r>
    </w:p>
    <w:tbl>
      <w:tblPr>
        <w:tblLayout w:type="fixed"/>
        <w:tblInd w:w="1480" w:type="dxa"/>
        <w:tblCellMar>
          <w:top w:w="0" w:type="dxa"/>
          <w:left w:w="0" w:type="dxa"/>
          <w:bottom w:w="0" w:type="dxa"/>
          <w:right w:w="0" w:type="dxa"/>
        </w:tblCellMar>
      </w:tblPr>
      <w:tr>
        <w:trPr>
          <w:trHeight w:val="228"/>
        </w:trPr>
        <w:tc>
          <w:tcPr>
            <w:tcW w:w="6180" w:type="dxa"/>
            <w:vAlign w:val="bottom"/>
          </w:tcPr>
          <w:p>
            <w:pPr>
              <w:jc w:val="center"/>
              <w:ind w:left="2212"/>
              <w:spacing w:after="0"/>
              <w:rPr>
                <w:sz w:val="20"/>
                <w:szCs w:val="20"/>
                <w:color w:val="auto"/>
              </w:rPr>
            </w:pPr>
            <w:r>
              <w:rPr>
                <w:rFonts w:ascii="Arial" w:cs="Arial" w:eastAsia="Arial" w:hAnsi="Arial"/>
                <w:sz w:val="18"/>
                <w:szCs w:val="18"/>
                <w:color w:val="auto"/>
                <w:w w:val="89"/>
              </w:rPr>
              <w:t xml:space="preserve">Commission File Number: </w:t>
            </w:r>
            <w:r>
              <w:rPr>
                <w:rFonts w:ascii="Arial" w:cs="Arial" w:eastAsia="Arial" w:hAnsi="Arial"/>
                <w:sz w:val="18"/>
                <w:szCs w:val="18"/>
                <w:b w:val="1"/>
                <w:bCs w:val="1"/>
                <w:color w:val="auto"/>
                <w:w w:val="89"/>
              </w:rPr>
              <w:t>001-38302</w:t>
            </w:r>
          </w:p>
        </w:tc>
        <w:tc>
          <w:tcPr>
            <w:tcW w:w="1720" w:type="dxa"/>
            <w:vAlign w:val="bottom"/>
          </w:tcPr>
          <w:p>
            <w:pPr>
              <w:spacing w:after="0"/>
              <w:rPr>
                <w:sz w:val="19"/>
                <w:szCs w:val="19"/>
                <w:color w:val="auto"/>
              </w:rPr>
            </w:pPr>
          </w:p>
        </w:tc>
      </w:tr>
      <w:tr>
        <w:trPr>
          <w:trHeight w:val="426"/>
        </w:trPr>
        <w:tc>
          <w:tcPr>
            <w:tcW w:w="6180" w:type="dxa"/>
            <w:vAlign w:val="bottom"/>
          </w:tcPr>
          <w:p>
            <w:pPr>
              <w:jc w:val="center"/>
              <w:ind w:left="2212"/>
              <w:spacing w:after="0"/>
              <w:rPr>
                <w:sz w:val="20"/>
                <w:szCs w:val="20"/>
                <w:color w:val="auto"/>
              </w:rPr>
            </w:pPr>
            <w:r>
              <w:rPr>
                <w:rFonts w:ascii="Arial" w:cs="Arial" w:eastAsia="Arial" w:hAnsi="Arial"/>
                <w:sz w:val="18"/>
                <w:szCs w:val="18"/>
                <w:b w:val="1"/>
                <w:bCs w:val="1"/>
                <w:color w:val="auto"/>
                <w:w w:val="97"/>
              </w:rPr>
              <w:t>BIG ROCK PARTNERS ACQUISITION CORP.</w:t>
            </w:r>
          </w:p>
        </w:tc>
        <w:tc>
          <w:tcPr>
            <w:tcW w:w="1720" w:type="dxa"/>
            <w:vAlign w:val="bottom"/>
          </w:tcPr>
          <w:p>
            <w:pPr>
              <w:spacing w:after="0"/>
              <w:rPr>
                <w:sz w:val="24"/>
                <w:szCs w:val="24"/>
                <w:color w:val="auto"/>
              </w:rPr>
            </w:pPr>
          </w:p>
        </w:tc>
      </w:tr>
      <w:tr>
        <w:trPr>
          <w:trHeight w:val="222"/>
        </w:trPr>
        <w:tc>
          <w:tcPr>
            <w:tcW w:w="6180" w:type="dxa"/>
            <w:vAlign w:val="bottom"/>
          </w:tcPr>
          <w:p>
            <w:pPr>
              <w:jc w:val="center"/>
              <w:ind w:left="2192"/>
              <w:spacing w:after="0"/>
              <w:rPr>
                <w:sz w:val="20"/>
                <w:szCs w:val="20"/>
                <w:color w:val="auto"/>
              </w:rPr>
            </w:pPr>
            <w:r>
              <w:rPr>
                <w:rFonts w:ascii="Arial" w:cs="Arial" w:eastAsia="Arial" w:hAnsi="Arial"/>
                <w:sz w:val="18"/>
                <w:szCs w:val="18"/>
                <w:color w:val="auto"/>
                <w:w w:val="88"/>
              </w:rPr>
              <w:t>(Exact name of registrant as specified in its charter)</w:t>
            </w:r>
          </w:p>
        </w:tc>
        <w:tc>
          <w:tcPr>
            <w:tcW w:w="1720" w:type="dxa"/>
            <w:vAlign w:val="bottom"/>
          </w:tcPr>
          <w:p>
            <w:pPr>
              <w:spacing w:after="0"/>
              <w:rPr>
                <w:sz w:val="19"/>
                <w:szCs w:val="19"/>
                <w:color w:val="auto"/>
              </w:rPr>
            </w:pPr>
          </w:p>
        </w:tc>
      </w:tr>
      <w:tr>
        <w:trPr>
          <w:trHeight w:val="426"/>
        </w:trPr>
        <w:tc>
          <w:tcPr>
            <w:tcW w:w="6180" w:type="dxa"/>
            <w:vAlign w:val="bottom"/>
          </w:tcPr>
          <w:p>
            <w:pPr>
              <w:jc w:val="center"/>
              <w:ind w:right="3312"/>
              <w:spacing w:after="0"/>
              <w:rPr>
                <w:sz w:val="20"/>
                <w:szCs w:val="20"/>
                <w:color w:val="auto"/>
              </w:rPr>
            </w:pPr>
            <w:r>
              <w:rPr>
                <w:rFonts w:ascii="Arial" w:cs="Arial" w:eastAsia="Arial" w:hAnsi="Arial"/>
                <w:sz w:val="18"/>
                <w:szCs w:val="18"/>
                <w:b w:val="1"/>
                <w:bCs w:val="1"/>
                <w:color w:val="auto"/>
                <w:w w:val="88"/>
              </w:rPr>
              <w:t>Delaware</w:t>
            </w:r>
          </w:p>
        </w:tc>
        <w:tc>
          <w:tcPr>
            <w:tcW w:w="1720" w:type="dxa"/>
            <w:vAlign w:val="bottom"/>
          </w:tcPr>
          <w:p>
            <w:pPr>
              <w:jc w:val="right"/>
              <w:ind w:right="292"/>
              <w:spacing w:after="0"/>
              <w:rPr>
                <w:sz w:val="20"/>
                <w:szCs w:val="20"/>
                <w:color w:val="auto"/>
              </w:rPr>
            </w:pPr>
            <w:r>
              <w:rPr>
                <w:rFonts w:ascii="Arial" w:cs="Arial" w:eastAsia="Arial" w:hAnsi="Arial"/>
                <w:sz w:val="18"/>
                <w:szCs w:val="18"/>
                <w:b w:val="1"/>
                <w:bCs w:val="1"/>
                <w:color w:val="auto"/>
              </w:rPr>
              <w:t>82-2844431</w:t>
            </w:r>
          </w:p>
        </w:tc>
      </w:tr>
      <w:tr>
        <w:trPr>
          <w:trHeight w:val="216"/>
        </w:trPr>
        <w:tc>
          <w:tcPr>
            <w:tcW w:w="6180" w:type="dxa"/>
            <w:vAlign w:val="bottom"/>
          </w:tcPr>
          <w:p>
            <w:pPr>
              <w:jc w:val="center"/>
              <w:ind w:right="3332"/>
              <w:spacing w:after="0"/>
              <w:rPr>
                <w:sz w:val="20"/>
                <w:szCs w:val="20"/>
                <w:color w:val="auto"/>
              </w:rPr>
            </w:pPr>
            <w:r>
              <w:rPr>
                <w:rFonts w:ascii="Arial" w:cs="Arial" w:eastAsia="Arial" w:hAnsi="Arial"/>
                <w:sz w:val="18"/>
                <w:szCs w:val="18"/>
                <w:color w:val="auto"/>
                <w:w w:val="90"/>
              </w:rPr>
              <w:t>(State or other jurisdiction of</w:t>
            </w:r>
          </w:p>
        </w:tc>
        <w:tc>
          <w:tcPr>
            <w:tcW w:w="1720" w:type="dxa"/>
            <w:vAlign w:val="bottom"/>
          </w:tcPr>
          <w:p>
            <w:pPr>
              <w:jc w:val="center"/>
              <w:ind w:left="32"/>
              <w:spacing w:after="0"/>
              <w:rPr>
                <w:sz w:val="20"/>
                <w:szCs w:val="20"/>
                <w:color w:val="auto"/>
              </w:rPr>
            </w:pPr>
            <w:r>
              <w:rPr>
                <w:rFonts w:ascii="Arial" w:cs="Arial" w:eastAsia="Arial" w:hAnsi="Arial"/>
                <w:sz w:val="18"/>
                <w:szCs w:val="18"/>
                <w:color w:val="auto"/>
                <w:w w:val="90"/>
              </w:rPr>
              <w:t>(I.R.S. Employer</w:t>
            </w:r>
          </w:p>
        </w:tc>
      </w:tr>
      <w:tr>
        <w:trPr>
          <w:trHeight w:val="222"/>
        </w:trPr>
        <w:tc>
          <w:tcPr>
            <w:tcW w:w="6180" w:type="dxa"/>
            <w:vAlign w:val="bottom"/>
          </w:tcPr>
          <w:p>
            <w:pPr>
              <w:jc w:val="center"/>
              <w:ind w:right="3332"/>
              <w:spacing w:after="0"/>
              <w:rPr>
                <w:sz w:val="20"/>
                <w:szCs w:val="20"/>
                <w:color w:val="auto"/>
              </w:rPr>
            </w:pPr>
            <w:r>
              <w:rPr>
                <w:rFonts w:ascii="Arial" w:cs="Arial" w:eastAsia="Arial" w:hAnsi="Arial"/>
                <w:sz w:val="18"/>
                <w:szCs w:val="18"/>
                <w:color w:val="auto"/>
                <w:w w:val="90"/>
              </w:rPr>
              <w:t>incorporation or organization)</w:t>
            </w:r>
          </w:p>
        </w:tc>
        <w:tc>
          <w:tcPr>
            <w:tcW w:w="1720" w:type="dxa"/>
            <w:vAlign w:val="bottom"/>
          </w:tcPr>
          <w:p>
            <w:pPr>
              <w:jc w:val="center"/>
              <w:ind w:left="12"/>
              <w:spacing w:after="0"/>
              <w:rPr>
                <w:sz w:val="20"/>
                <w:szCs w:val="20"/>
                <w:color w:val="auto"/>
              </w:rPr>
            </w:pPr>
            <w:r>
              <w:rPr>
                <w:rFonts w:ascii="Arial" w:cs="Arial" w:eastAsia="Arial" w:hAnsi="Arial"/>
                <w:sz w:val="18"/>
                <w:szCs w:val="18"/>
                <w:color w:val="auto"/>
                <w:w w:val="91"/>
              </w:rPr>
              <w:t>Identification Number)</w:t>
            </w:r>
          </w:p>
        </w:tc>
      </w:tr>
      <w:tr>
        <w:trPr>
          <w:trHeight w:val="420"/>
        </w:trPr>
        <w:tc>
          <w:tcPr>
            <w:tcW w:w="6180" w:type="dxa"/>
            <w:vAlign w:val="bottom"/>
          </w:tcPr>
          <w:p>
            <w:pPr>
              <w:jc w:val="center"/>
              <w:ind w:right="3312"/>
              <w:spacing w:after="0"/>
              <w:rPr>
                <w:sz w:val="20"/>
                <w:szCs w:val="20"/>
                <w:color w:val="auto"/>
              </w:rPr>
            </w:pPr>
            <w:r>
              <w:rPr>
                <w:rFonts w:ascii="Arial" w:cs="Arial" w:eastAsia="Arial" w:hAnsi="Arial"/>
                <w:sz w:val="18"/>
                <w:szCs w:val="18"/>
                <w:b w:val="1"/>
                <w:bCs w:val="1"/>
                <w:color w:val="auto"/>
                <w:w w:val="88"/>
              </w:rPr>
              <w:t>2645 N. Federal Highway, Suite 230</w:t>
            </w:r>
          </w:p>
        </w:tc>
        <w:tc>
          <w:tcPr>
            <w:tcW w:w="1720" w:type="dxa"/>
            <w:vAlign w:val="bottom"/>
          </w:tcPr>
          <w:p>
            <w:pPr>
              <w:spacing w:after="0"/>
              <w:rPr>
                <w:sz w:val="24"/>
                <w:szCs w:val="24"/>
                <w:color w:val="auto"/>
              </w:rPr>
            </w:pPr>
          </w:p>
        </w:tc>
      </w:tr>
      <w:tr>
        <w:trPr>
          <w:trHeight w:val="222"/>
        </w:trPr>
        <w:tc>
          <w:tcPr>
            <w:tcW w:w="6180" w:type="dxa"/>
            <w:vAlign w:val="bottom"/>
          </w:tcPr>
          <w:p>
            <w:pPr>
              <w:jc w:val="center"/>
              <w:ind w:right="3332"/>
              <w:spacing w:after="0"/>
              <w:rPr>
                <w:sz w:val="20"/>
                <w:szCs w:val="20"/>
                <w:color w:val="auto"/>
              </w:rPr>
            </w:pPr>
            <w:r>
              <w:rPr>
                <w:rFonts w:ascii="Arial" w:cs="Arial" w:eastAsia="Arial" w:hAnsi="Arial"/>
                <w:sz w:val="18"/>
                <w:szCs w:val="18"/>
                <w:b w:val="1"/>
                <w:bCs w:val="1"/>
                <w:color w:val="auto"/>
                <w:w w:val="90"/>
              </w:rPr>
              <w:t>Delray Beach, FL</w:t>
            </w:r>
          </w:p>
        </w:tc>
        <w:tc>
          <w:tcPr>
            <w:tcW w:w="1720" w:type="dxa"/>
            <w:vAlign w:val="bottom"/>
          </w:tcPr>
          <w:p>
            <w:pPr>
              <w:jc w:val="right"/>
              <w:ind w:right="512"/>
              <w:spacing w:after="0"/>
              <w:rPr>
                <w:sz w:val="20"/>
                <w:szCs w:val="20"/>
                <w:color w:val="auto"/>
              </w:rPr>
            </w:pPr>
            <w:r>
              <w:rPr>
                <w:rFonts w:ascii="Arial" w:cs="Arial" w:eastAsia="Arial" w:hAnsi="Arial"/>
                <w:sz w:val="18"/>
                <w:szCs w:val="18"/>
                <w:b w:val="1"/>
                <w:bCs w:val="1"/>
                <w:color w:val="auto"/>
              </w:rPr>
              <w:t>33483</w:t>
            </w:r>
          </w:p>
        </w:tc>
      </w:tr>
      <w:tr>
        <w:trPr>
          <w:trHeight w:val="222"/>
        </w:trPr>
        <w:tc>
          <w:tcPr>
            <w:tcW w:w="6180" w:type="dxa"/>
            <w:vAlign w:val="bottom"/>
          </w:tcPr>
          <w:p>
            <w:pPr>
              <w:jc w:val="center"/>
              <w:ind w:right="3312"/>
              <w:spacing w:after="0"/>
              <w:rPr>
                <w:sz w:val="20"/>
                <w:szCs w:val="20"/>
                <w:color w:val="auto"/>
              </w:rPr>
            </w:pPr>
            <w:r>
              <w:rPr>
                <w:rFonts w:ascii="Arial" w:cs="Arial" w:eastAsia="Arial" w:hAnsi="Arial"/>
                <w:sz w:val="18"/>
                <w:szCs w:val="18"/>
                <w:color w:val="auto"/>
                <w:w w:val="90"/>
              </w:rPr>
              <w:t>(Address of principal executive offices)</w:t>
            </w:r>
          </w:p>
        </w:tc>
        <w:tc>
          <w:tcPr>
            <w:tcW w:w="1720" w:type="dxa"/>
            <w:vAlign w:val="bottom"/>
          </w:tcPr>
          <w:p>
            <w:pPr>
              <w:jc w:val="center"/>
              <w:ind w:left="12"/>
              <w:spacing w:after="0"/>
              <w:rPr>
                <w:sz w:val="20"/>
                <w:szCs w:val="20"/>
                <w:color w:val="auto"/>
              </w:rPr>
            </w:pPr>
            <w:r>
              <w:rPr>
                <w:rFonts w:ascii="Arial" w:cs="Arial" w:eastAsia="Arial" w:hAnsi="Arial"/>
                <w:sz w:val="18"/>
                <w:szCs w:val="18"/>
                <w:color w:val="auto"/>
                <w:w w:val="91"/>
              </w:rPr>
              <w:t>(Zip Code)</w:t>
            </w:r>
          </w:p>
        </w:tc>
      </w:tr>
    </w:tbl>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(310) 734-2300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9"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ind w:right="1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Date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60"/>
          </w:cols>
          <w:pgMar w:left="240" w:top="706" w:right="299" w:bottom="1440" w:gutter="0" w:footer="0" w:header="0"/>
        </w:sectPr>
      </w:pPr>
    </w:p>
    <w:p>
      <w:pPr>
        <w:spacing w:after="0" w:line="162" w:lineRule="exact"/>
        <w:rPr>
          <w:sz w:val="24"/>
          <w:szCs w:val="24"/>
          <w:color w:val="auto"/>
        </w:rPr>
      </w:pPr>
    </w:p>
    <w:p>
      <w:pPr>
        <w:ind w:left="192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6" w:lineRule="exact"/>
        <w:rPr>
          <w:sz w:val="24"/>
          <w:szCs w:val="24"/>
          <w:color w:val="auto"/>
        </w:rPr>
      </w:pPr>
    </w:p>
    <w:p>
      <w:pPr>
        <w:ind w:left="19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118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ind w:left="3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3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0" w:lineRule="exact"/>
        <w:rPr>
          <w:sz w:val="24"/>
          <w:szCs w:val="24"/>
          <w:color w:val="auto"/>
        </w:rPr>
      </w:pPr>
    </w:p>
    <w:p>
      <w:pPr>
        <w:sectPr>
          <w:pgSz w:w="11900" w:h="16838" w:orient="portrait"/>
          <w:cols w:equalWidth="0" w:num="3">
            <w:col w:w="6840" w:space="720"/>
            <w:col w:w="1920" w:space="80"/>
            <w:col w:w="1800"/>
          </w:cols>
          <w:pgMar w:left="240" w:top="706" w:right="299" w:bottom="1440" w:gutter="0" w:footer="0" w:header="0"/>
          <w:type w:val="continuous"/>
        </w:sectPr>
      </w:pPr>
    </w:p>
    <w:p>
      <w:pPr>
        <w:spacing w:after="0" w:line="34" w:lineRule="exact"/>
        <w:rPr>
          <w:sz w:val="24"/>
          <w:szCs w:val="24"/>
          <w:color w:val="auto"/>
        </w:rPr>
      </w:pPr>
    </w:p>
    <w:p>
      <w:pPr>
        <w:ind w:right="36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9" w:lineRule="exact"/>
        <w:rPr>
          <w:sz w:val="24"/>
          <w:szCs w:val="24"/>
          <w:color w:val="auto"/>
        </w:rPr>
      </w:pPr>
    </w:p>
    <w:p>
      <w:pPr>
        <w:spacing w:after="0" w:line="184" w:lineRule="exact"/>
        <w:tabs>
          <w:tab w:leader="none" w:pos="882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As of May 14, 2018, there were 9,035,500 shares of the Company’s common stock, par value $0.001,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706"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00" w:type="dxa"/>
            <w:vAlign w:val="bottom"/>
          </w:tcPr>
          <w:p>
            <w:pPr>
              <w:ind w:left="3900"/>
              <w:spacing w:after="0"/>
              <w:rPr>
                <w:sz w:val="20"/>
                <w:szCs w:val="20"/>
                <w:color w:val="auto"/>
              </w:rPr>
            </w:pPr>
            <w:r>
              <w:rPr>
                <w:rFonts w:ascii="Arial" w:cs="Arial" w:eastAsia="Arial" w:hAnsi="Arial"/>
                <w:sz w:val="18"/>
                <w:szCs w:val="18"/>
                <w:b w:val="1"/>
                <w:bCs w:val="1"/>
                <w:color w:val="auto"/>
              </w:rPr>
              <w:t>TABLE OF CONTENTS</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PART I.</w:t>
            </w:r>
          </w:p>
        </w:tc>
        <w:tc>
          <w:tcPr>
            <w:tcW w:w="9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FINANCIAL INFORMATION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FINANCIAL STATEMENTS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Condensed Balance Sheets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Condensed Statement of Operations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Condensed Statement of Cash Flows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Notes to Condensed Financial Statements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QUANTITATIVE AND QUALITATIVE DISCLOSURES ABOUT MARKET RISK</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CONTROLS AND PROCEDURES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PART II.</w:t>
            </w:r>
          </w:p>
        </w:tc>
        <w:tc>
          <w:tcPr>
            <w:tcW w:w="9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INFORMATION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LEGAL PROCEEDINGS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RISK FACTORS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UNREGISTERED SALES OF EQUITY SECURITIES AND USE OF PROCEEDS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DEFAULTS UPON SENIOR SECURITIES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MINE SAFETY DISCLOSURES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INFORMATION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EXHIBITS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6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SIGNATURES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6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95"/>
              </w:rPr>
              <w:t>March 31,</w:t>
            </w:r>
          </w:p>
        </w:tc>
        <w:tc>
          <w:tcPr>
            <w:tcW w:w="10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86"/>
              </w:rPr>
              <w:t>December 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4"/>
              <w:spacing w:after="0"/>
              <w:rPr>
                <w:sz w:val="20"/>
                <w:szCs w:val="20"/>
                <w:color w:val="auto"/>
              </w:rPr>
            </w:pPr>
            <w:r>
              <w:rPr>
                <w:rFonts w:ascii="Arial" w:cs="Arial" w:eastAsia="Arial" w:hAnsi="Arial"/>
                <w:sz w:val="15"/>
                <w:szCs w:val="15"/>
                <w:b w:val="1"/>
                <w:bCs w:val="1"/>
                <w:color w:val="auto"/>
                <w:w w:val="89"/>
              </w:rPr>
              <w:t>2018</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8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1"/>
              </w:rPr>
              <w:t>(Unaudited)</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8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267,191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449,374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67,778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334,969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Marketable securities held in Trust Account</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69,218,279</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69,029,443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69,553,248</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69,565,819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61,004</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85,671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offering costs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Income tax payable</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4,115</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65,119</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93,171</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0"/>
              </w:rPr>
              <w:t>Common stock subject to possible redemption, 6,429,718 and 6,444,515 shares at redemption value as of March 31, 2018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December 31, 2017, respectively</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64,488,124</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64,472,647</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Preferred stock, $0.001 par value; 1,000,000 authorized, none issued and outstanding</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Common stock, $0.001 par value; 100,000,000 shares authorized; 2,605,782 and 2,590,985 shares issued and</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3"/>
              </w:rPr>
              <w:t>outstanding (excluding 6,429,718 and 6,444,515 shares subject to possible redemption) as of March 31, 2018 and</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December 31, 2017, respectively</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5,086,951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5,102,443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(89,552)</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(105,033)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5,000,005</w:t>
            </w:r>
          </w:p>
        </w:tc>
        <w:tc>
          <w:tcPr>
            <w:tcW w:w="28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5,000,001</w:t>
            </w:r>
          </w:p>
        </w:tc>
        <w:tc>
          <w:tcPr>
            <w:tcW w:w="1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69,553,248</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69,565,819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vMerge w:val="restart"/>
          </w:tcPr>
          <w:p>
            <w:pPr>
              <w:ind w:left="2780"/>
              <w:spacing w:after="0"/>
              <w:rPr>
                <w:sz w:val="20"/>
                <w:szCs w:val="20"/>
                <w:color w:val="auto"/>
              </w:rPr>
            </w:pPr>
            <w:r>
              <w:rPr>
                <w:rFonts w:ascii="Arial" w:cs="Arial" w:eastAsia="Arial" w:hAnsi="Arial"/>
                <w:sz w:val="18"/>
                <w:szCs w:val="18"/>
                <w:color w:val="auto"/>
                <w:w w:val="89"/>
              </w:rPr>
              <w:t>The accompanying notes are an integral part of the condensed financial statements.</w:t>
            </w: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8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6"/>
        </w:trPr>
        <w:tc>
          <w:tcPr>
            <w:tcW w:w="20" w:type="dxa"/>
            <w:vAlign w:val="bottom"/>
          </w:tcPr>
          <w:p>
            <w:pPr>
              <w:spacing w:after="0"/>
              <w:rPr>
                <w:sz w:val="24"/>
                <w:szCs w:val="24"/>
                <w:color w:val="auto"/>
              </w:rPr>
            </w:pPr>
          </w:p>
        </w:tc>
        <w:tc>
          <w:tcPr>
            <w:tcW w:w="8800" w:type="dxa"/>
            <w:vAlign w:val="bottom"/>
            <w:tcBorders>
              <w:bottom w:val="single" w:sz="8" w:color="auto"/>
            </w:tcBorders>
          </w:tcPr>
          <w:p>
            <w:pPr>
              <w:ind w:left="566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0"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180" w:type="dxa"/>
            <w:vAlign w:val="bottom"/>
          </w:tcPr>
          <w:p>
            <w:pPr>
              <w:jc w:val="center"/>
              <w:ind w:left="1172"/>
              <w:spacing w:after="0"/>
              <w:rPr>
                <w:sz w:val="20"/>
                <w:szCs w:val="20"/>
                <w:color w:val="auto"/>
              </w:rPr>
            </w:pPr>
            <w:r>
              <w:rPr>
                <w:rFonts w:ascii="Arial" w:cs="Arial" w:eastAsia="Arial" w:hAnsi="Arial"/>
                <w:sz w:val="18"/>
                <w:szCs w:val="18"/>
                <w:b w:val="1"/>
                <w:bCs w:val="1"/>
                <w:color w:val="auto"/>
                <w:w w:val="97"/>
              </w:rPr>
              <w:t>BIG ROCK PARTNERS ACQUISITION CORP.</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0180" w:type="dxa"/>
            <w:vAlign w:val="bottom"/>
          </w:tcPr>
          <w:p>
            <w:pPr>
              <w:jc w:val="center"/>
              <w:ind w:left="1112"/>
              <w:spacing w:after="0"/>
              <w:rPr>
                <w:sz w:val="20"/>
                <w:szCs w:val="20"/>
                <w:color w:val="auto"/>
              </w:rPr>
            </w:pPr>
            <w:r>
              <w:rPr>
                <w:rFonts w:ascii="Arial" w:cs="Arial" w:eastAsia="Arial" w:hAnsi="Arial"/>
                <w:sz w:val="18"/>
                <w:szCs w:val="18"/>
                <w:b w:val="1"/>
                <w:bCs w:val="1"/>
                <w:color w:val="auto"/>
                <w:w w:val="86"/>
              </w:rPr>
              <w:t>Condensed Statement of Operations</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180" w:type="dxa"/>
            <w:vAlign w:val="bottom"/>
          </w:tcPr>
          <w:p>
            <w:pPr>
              <w:jc w:val="center"/>
              <w:ind w:left="1112"/>
              <w:spacing w:after="0"/>
              <w:rPr>
                <w:sz w:val="20"/>
                <w:szCs w:val="20"/>
                <w:color w:val="auto"/>
              </w:rPr>
            </w:pPr>
            <w:r>
              <w:rPr>
                <w:rFonts w:ascii="Arial" w:cs="Arial" w:eastAsia="Arial" w:hAnsi="Arial"/>
                <w:sz w:val="18"/>
                <w:szCs w:val="18"/>
                <w:b w:val="1"/>
                <w:bCs w:val="1"/>
                <w:color w:val="auto"/>
                <w:w w:val="89"/>
              </w:rPr>
              <w:t>(Unaudited)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10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1"/>
              </w:rPr>
              <w:t>Three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87"/>
              </w:rPr>
              <w:t>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180" w:type="dxa"/>
            <w:vAlign w:val="bottom"/>
          </w:tcPr>
          <w:p>
            <w:pPr>
              <w:spacing w:after="0"/>
              <w:rPr>
                <w:sz w:val="15"/>
                <w:szCs w:val="15"/>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1"/>
              </w:rPr>
              <w:t>March 31, 2018</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1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192,374</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ind w:left="160"/>
              <w:spacing w:after="0"/>
              <w:rPr>
                <w:sz w:val="20"/>
                <w:szCs w:val="20"/>
                <w:color w:val="auto"/>
              </w:rPr>
            </w:pPr>
            <w:r>
              <w:rPr>
                <w:rFonts w:ascii="Arial" w:cs="Arial" w:eastAsia="Arial" w:hAnsi="Arial"/>
                <w:sz w:val="18"/>
                <w:szCs w:val="18"/>
                <w:b w:val="1"/>
                <w:bCs w:val="1"/>
                <w:color w:val="auto"/>
              </w:rPr>
              <w:t>Loss from operations</w:t>
            </w:r>
          </w:p>
        </w:tc>
        <w:tc>
          <w:tcPr>
            <w:tcW w:w="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(192,374)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Other income:</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80" w:type="dxa"/>
            <w:vAlign w:val="bottom"/>
          </w:tcPr>
          <w:p>
            <w:pPr>
              <w:ind w:left="160"/>
              <w:spacing w:after="0"/>
              <w:rPr>
                <w:sz w:val="20"/>
                <w:szCs w:val="20"/>
                <w:color w:val="auto"/>
              </w:rPr>
            </w:pPr>
            <w:r>
              <w:rPr>
                <w:rFonts w:ascii="Arial" w:cs="Arial" w:eastAsia="Arial" w:hAnsi="Arial"/>
                <w:sz w:val="18"/>
                <w:szCs w:val="18"/>
                <w:color w:val="auto"/>
              </w:rPr>
              <w:t>Unrealized loss on marketable securities held in Trust Account</w:t>
            </w:r>
          </w:p>
        </w:tc>
        <w:tc>
          <w:tcPr>
            <w:tcW w:w="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 net</w:t>
            </w: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provision for income taxes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80" w:type="dxa"/>
            <w:vAlign w:val="bottom"/>
          </w:tcPr>
          <w:p>
            <w:pPr>
              <w:ind w:left="160"/>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(4,115)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Net Income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15,481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1018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18"/>
                <w:szCs w:val="18"/>
                <w:color w:val="auto"/>
              </w:rPr>
              <w:t xml:space="preserve">Weighted average shares outstanding, basic and diluted </w:t>
            </w:r>
            <w:r>
              <w:rPr>
                <w:rFonts w:ascii="Arial" w:cs="Arial" w:eastAsia="Arial" w:hAnsi="Arial"/>
                <w:sz w:val="24"/>
                <w:szCs w:val="24"/>
                <w:color w:val="auto"/>
                <w:vertAlign w:val="superscript"/>
              </w:rPr>
              <w:t>(1)</w:t>
            </w:r>
          </w:p>
        </w:tc>
        <w:tc>
          <w:tcPr>
            <w:tcW w:w="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2,590,985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1018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Basic and diluted net loss per common share </w:t>
            </w:r>
            <w:r>
              <w:rPr>
                <w:rFonts w:ascii="Arial" w:cs="Arial" w:eastAsia="Arial" w:hAnsi="Arial"/>
                <w:sz w:val="24"/>
                <w:szCs w:val="24"/>
                <w:b w:val="1"/>
                <w:bCs w:val="1"/>
                <w:color w:val="auto"/>
                <w:vertAlign w:val="superscript"/>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Excludes an aggregate of up to 6,429,718 shares subject to possible redemption at March 31, 2018.</w:t>
      </w:r>
    </w:p>
    <w:p>
      <w:pPr>
        <w:spacing w:after="0" w:line="225"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loss per common share - basic and diluted excludes interest income attributable to common stock subject to possible redemption of $185,056 for the three months ended March 31, 2018 (see Note 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 w:name="page5"/>
    <w:bookmarkEnd w:id="4"/>
    <w:p>
      <w:pPr>
        <w:jc w:val="center"/>
        <w:ind w:left="2008"/>
        <w:spacing w:after="0"/>
        <w:rPr>
          <w:sz w:val="20"/>
          <w:szCs w:val="20"/>
          <w:color w:val="auto"/>
        </w:rPr>
      </w:pPr>
      <w:r>
        <w:rPr>
          <w:rFonts w:ascii="Arial" w:cs="Arial" w:eastAsia="Arial" w:hAnsi="Arial"/>
          <w:sz w:val="18"/>
          <w:szCs w:val="18"/>
          <w:b w:val="1"/>
          <w:bCs w:val="1"/>
          <w:color w:val="auto"/>
        </w:rPr>
        <w:t>BIG ROCK PARTNERS ACQUISITION CORP.</w:t>
      </w:r>
    </w:p>
    <w:p>
      <w:pPr>
        <w:spacing w:after="0" w:line="225" w:lineRule="exact"/>
        <w:rPr>
          <w:sz w:val="20"/>
          <w:szCs w:val="20"/>
          <w:color w:val="auto"/>
        </w:rPr>
      </w:pPr>
    </w:p>
    <w:p>
      <w:pPr>
        <w:jc w:val="center"/>
        <w:ind w:left="1968"/>
        <w:spacing w:after="0"/>
        <w:rPr>
          <w:sz w:val="20"/>
          <w:szCs w:val="20"/>
          <w:color w:val="auto"/>
        </w:rPr>
      </w:pPr>
      <w:r>
        <w:rPr>
          <w:rFonts w:ascii="Arial" w:cs="Arial" w:eastAsia="Arial" w:hAnsi="Arial"/>
          <w:sz w:val="18"/>
          <w:szCs w:val="18"/>
          <w:b w:val="1"/>
          <w:bCs w:val="1"/>
          <w:color w:val="auto"/>
        </w:rPr>
        <w:t>Condensed Statement of Cash Flows</w:t>
      </w:r>
    </w:p>
    <w:p>
      <w:pPr>
        <w:spacing w:after="0" w:line="21" w:lineRule="exact"/>
        <w:rPr>
          <w:sz w:val="20"/>
          <w:szCs w:val="20"/>
          <w:color w:val="auto"/>
        </w:rPr>
      </w:pPr>
    </w:p>
    <w:p>
      <w:pPr>
        <w:jc w:val="center"/>
        <w:ind w:left="1968"/>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Adjustments to reconcile net income to net cash used in operating activities: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earned on marketable securities held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Unrealized loss on marketable securities held in Trust Account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Prepaid expenses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Income tax payable</w:t>
      </w:r>
    </w:p>
    <w:p>
      <w:pPr>
        <w:spacing w:after="0" w:line="2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Cash withdrawn from Trust Account</w:t>
      </w:r>
    </w:p>
    <w:p>
      <w:pPr>
        <w:spacing w:after="0" w:line="2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cash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Payment of offering costs</w:t>
      </w:r>
    </w:p>
    <w:p>
      <w:pPr>
        <w:spacing w:after="0" w:line="2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Cash - Beginning</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Change in value of common stock subject to possible redemption</w:t>
      </w:r>
    </w:p>
    <w:p>
      <w:pPr>
        <w:spacing w:after="0" w:line="273" w:lineRule="exact"/>
        <w:rPr>
          <w:sz w:val="20"/>
          <w:szCs w:val="20"/>
          <w:color w:val="auto"/>
        </w:rPr>
      </w:pPr>
    </w:p>
    <w:p>
      <w:pPr>
        <w:jc w:val="right"/>
        <w:ind w:right="832"/>
        <w:spacing w:after="0"/>
        <w:rPr>
          <w:sz w:val="20"/>
          <w:szCs w:val="20"/>
          <w:color w:val="auto"/>
        </w:rPr>
      </w:pPr>
      <w:r>
        <w:rPr>
          <w:rFonts w:ascii="Arial" w:cs="Arial" w:eastAsia="Arial" w:hAnsi="Arial"/>
          <w:sz w:val="18"/>
          <w:szCs w:val="18"/>
          <w:color w:val="auto"/>
        </w:rPr>
        <w:t>The accompanying notes are an integral part of the condensed financial statements.</w:t>
      </w:r>
    </w:p>
    <w:p>
      <w:pPr>
        <w:spacing w:after="0" w:line="200" w:lineRule="exact"/>
        <w:rPr>
          <w:sz w:val="20"/>
          <w:szCs w:val="20"/>
          <w:color w:val="auto"/>
        </w:rPr>
      </w:pPr>
    </w:p>
    <w:p>
      <w:pPr>
        <w:spacing w:after="0" w:line="24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2"/>
        <w:spacing w:after="0"/>
        <w:rPr>
          <w:sz w:val="20"/>
          <w:szCs w:val="20"/>
          <w:color w:val="auto"/>
        </w:rPr>
      </w:pPr>
      <w:r>
        <w:rPr>
          <w:rFonts w:ascii="Arial" w:cs="Arial" w:eastAsia="Arial" w:hAnsi="Arial"/>
          <w:sz w:val="15"/>
          <w:szCs w:val="15"/>
          <w:b w:val="1"/>
          <w:bCs w:val="1"/>
          <w:color w:val="auto"/>
        </w:rPr>
        <w:t>Three Months</w:t>
      </w:r>
    </w:p>
    <w:p>
      <w:pPr>
        <w:jc w:val="center"/>
        <w:ind w:right="52"/>
        <w:spacing w:after="0" w:line="233" w:lineRule="auto"/>
        <w:rPr>
          <w:sz w:val="20"/>
          <w:szCs w:val="20"/>
          <w:color w:val="auto"/>
        </w:rPr>
      </w:pPr>
      <w:r>
        <w:rPr>
          <w:rFonts w:ascii="Arial" w:cs="Arial" w:eastAsia="Arial" w:hAnsi="Arial"/>
          <w:sz w:val="15"/>
          <w:szCs w:val="15"/>
          <w:b w:val="1"/>
          <w:bCs w:val="1"/>
          <w:color w:val="auto"/>
        </w:rPr>
        <w:t>Ended</w:t>
      </w:r>
    </w:p>
    <w:p>
      <w:pPr>
        <w:jc w:val="center"/>
        <w:ind w:right="52"/>
        <w:spacing w:after="0"/>
        <w:rPr>
          <w:sz w:val="20"/>
          <w:szCs w:val="20"/>
          <w:color w:val="auto"/>
        </w:rPr>
      </w:pPr>
      <w:r>
        <w:rPr>
          <w:rFonts w:ascii="Arial" w:cs="Arial" w:eastAsia="Arial" w:hAnsi="Arial"/>
          <w:sz w:val="15"/>
          <w:szCs w:val="15"/>
          <w:b w:val="1"/>
          <w:bCs w:val="1"/>
          <w:u w:val="single" w:color="auto"/>
          <w:color w:val="auto"/>
        </w:rPr>
        <w:t>March 31, 2018</w:t>
      </w:r>
    </w:p>
    <w:p>
      <w:pPr>
        <w:spacing w:after="0" w:line="249" w:lineRule="exact"/>
        <w:rPr>
          <w:sz w:val="20"/>
          <w:szCs w:val="20"/>
          <w:color w:val="auto"/>
        </w:rPr>
      </w:pPr>
    </w:p>
    <w:p>
      <w:pPr>
        <w:ind w:left="608" w:hanging="608"/>
        <w:spacing w:after="0"/>
        <w:tabs>
          <w:tab w:leader="none" w:pos="608" w:val="left"/>
        </w:tabs>
        <w:numPr>
          <w:ilvl w:val="0"/>
          <w:numId w:val="4"/>
        </w:numPr>
        <w:rPr>
          <w:rFonts w:ascii="Arial" w:cs="Arial" w:eastAsia="Arial" w:hAnsi="Arial"/>
          <w:sz w:val="16"/>
          <w:szCs w:val="16"/>
          <w:color w:val="auto"/>
        </w:rPr>
      </w:pPr>
      <w:r>
        <w:rPr>
          <w:rFonts w:ascii="Arial" w:cs="Arial" w:eastAsia="Arial" w:hAnsi="Arial"/>
          <w:sz w:val="16"/>
          <w:szCs w:val="16"/>
          <w:color w:val="auto"/>
        </w:rPr>
        <w:t>15,481</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(213,569)</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1,599</w:t>
      </w:r>
    </w:p>
    <w:p>
      <w:pPr>
        <w:spacing w:after="0" w:line="21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19,224</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(24,667)</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946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4690" cy="17145"/>
                    </a:xfrm>
                    <a:prstGeom prst="rect">
                      <a:avLst/>
                    </a:prstGeom>
                    <a:noFill/>
                  </pic:spPr>
                </pic:pic>
              </a:graphicData>
            </a:graphic>
          </wp:anchor>
        </w:drawing>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(197,817)</w:t>
      </w:r>
    </w:p>
    <w:p>
      <w:pPr>
        <w:spacing w:after="0" w:line="200" w:lineRule="exact"/>
        <w:rPr>
          <w:sz w:val="20"/>
          <w:szCs w:val="20"/>
          <w:color w:val="auto"/>
        </w:rPr>
      </w:pPr>
    </w:p>
    <w:p>
      <w:pPr>
        <w:spacing w:after="0" w:line="274" w:lineRule="exact"/>
        <w:rPr>
          <w:sz w:val="20"/>
          <w:szCs w:val="20"/>
          <w:color w:val="auto"/>
        </w:rPr>
      </w:pPr>
    </w:p>
    <w:p>
      <w:pPr>
        <w:ind w:left="608"/>
        <w:spacing w:after="0"/>
        <w:rPr>
          <w:sz w:val="20"/>
          <w:szCs w:val="20"/>
          <w:color w:val="auto"/>
        </w:rPr>
      </w:pPr>
      <w:r>
        <w:rPr>
          <w:rFonts w:ascii="Arial" w:cs="Arial" w:eastAsia="Arial" w:hAnsi="Arial"/>
          <w:sz w:val="16"/>
          <w:szCs w:val="16"/>
          <w:color w:val="auto"/>
        </w:rPr>
        <w:t>23,134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946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4690" cy="17145"/>
                    </a:xfrm>
                    <a:prstGeom prst="rect">
                      <a:avLst/>
                    </a:prstGeom>
                    <a:noFill/>
                  </pic:spPr>
                </pic:pic>
              </a:graphicData>
            </a:graphic>
          </wp:anchor>
        </w:drawing>
      </w:r>
    </w:p>
    <w:p>
      <w:pPr>
        <w:spacing w:after="0" w:line="33" w:lineRule="exact"/>
        <w:rPr>
          <w:sz w:val="20"/>
          <w:szCs w:val="20"/>
          <w:color w:val="auto"/>
        </w:rPr>
      </w:pPr>
    </w:p>
    <w:p>
      <w:pPr>
        <w:ind w:left="608"/>
        <w:spacing w:after="0"/>
        <w:rPr>
          <w:sz w:val="20"/>
          <w:szCs w:val="20"/>
          <w:color w:val="auto"/>
        </w:rPr>
      </w:pPr>
      <w:r>
        <w:rPr>
          <w:rFonts w:ascii="Arial" w:cs="Arial" w:eastAsia="Arial" w:hAnsi="Arial"/>
          <w:sz w:val="16"/>
          <w:szCs w:val="16"/>
          <w:b w:val="1"/>
          <w:bCs w:val="1"/>
          <w:color w:val="auto"/>
        </w:rPr>
        <w:t>23,134</w:t>
      </w: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946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4690" cy="17145"/>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(7,500)</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(182,183)</w:t>
      </w:r>
    </w:p>
    <w:p>
      <w:pPr>
        <w:spacing w:after="0" w:line="21" w:lineRule="exact"/>
        <w:rPr>
          <w:sz w:val="20"/>
          <w:szCs w:val="20"/>
          <w:color w:val="auto"/>
        </w:rPr>
      </w:pPr>
    </w:p>
    <w:p>
      <w:pPr>
        <w:ind w:left="528"/>
        <w:spacing w:after="0"/>
        <w:rPr>
          <w:sz w:val="20"/>
          <w:szCs w:val="20"/>
          <w:color w:val="auto"/>
        </w:rPr>
      </w:pPr>
      <w:r>
        <w:rPr>
          <w:rFonts w:ascii="Arial" w:cs="Arial" w:eastAsia="Arial" w:hAnsi="Arial"/>
          <w:sz w:val="16"/>
          <w:szCs w:val="16"/>
          <w:color w:val="auto"/>
        </w:rPr>
        <w:t>449,374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6946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4690" cy="17145"/>
                    </a:xfrm>
                    <a:prstGeom prst="rect">
                      <a:avLst/>
                    </a:prstGeom>
                    <a:noFill/>
                  </pic:spPr>
                </pic:pic>
              </a:graphicData>
            </a:graphic>
          </wp:anchor>
        </w:drawing>
      </w:r>
    </w:p>
    <w:p>
      <w:pPr>
        <w:spacing w:after="0" w:line="27" w:lineRule="exact"/>
        <w:rPr>
          <w:sz w:val="20"/>
          <w:szCs w:val="20"/>
          <w:color w:val="auto"/>
        </w:rPr>
      </w:pPr>
    </w:p>
    <w:p>
      <w:pPr>
        <w:ind w:left="528" w:hanging="528"/>
        <w:spacing w:after="0"/>
        <w:tabs>
          <w:tab w:leader="none" w:pos="528"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267,191</w:t>
      </w:r>
    </w:p>
    <w:p>
      <w:pPr>
        <w:spacing w:after="0" w:line="200" w:lineRule="exact"/>
        <w:rPr>
          <w:sz w:val="20"/>
          <w:szCs w:val="20"/>
          <w:color w:val="auto"/>
        </w:rPr>
      </w:pPr>
    </w:p>
    <w:p>
      <w:pPr>
        <w:spacing w:after="0" w:line="324" w:lineRule="exact"/>
        <w:rPr>
          <w:sz w:val="20"/>
          <w:szCs w:val="20"/>
          <w:color w:val="auto"/>
        </w:rPr>
      </w:pPr>
    </w:p>
    <w:p>
      <w:pPr>
        <w:ind w:left="608" w:hanging="608"/>
        <w:spacing w:after="0"/>
        <w:tabs>
          <w:tab w:leader="none" w:pos="608" w:val="left"/>
        </w:tabs>
        <w:numPr>
          <w:ilvl w:val="0"/>
          <w:numId w:val="6"/>
        </w:numPr>
        <w:rPr>
          <w:rFonts w:ascii="Arial" w:cs="Arial" w:eastAsia="Arial" w:hAnsi="Arial"/>
          <w:sz w:val="16"/>
          <w:szCs w:val="16"/>
          <w:color w:val="auto"/>
        </w:rPr>
      </w:pPr>
      <w:r>
        <w:rPr>
          <w:rFonts w:ascii="Arial" w:cs="Arial" w:eastAsia="Arial" w:hAnsi="Arial"/>
          <w:sz w:val="16"/>
          <w:szCs w:val="16"/>
          <w:color w:val="auto"/>
        </w:rPr>
        <w:t>15,477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946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46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51435</wp:posOffset>
            </wp:positionV>
            <wp:extent cx="6946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ectPr>
          <w:pgSz w:w="11900" w:h="16838" w:orient="portrait"/>
          <w:cols w:equalWidth="0" w:num="2">
            <w:col w:w="9472" w:space="720"/>
            <w:col w:w="1148"/>
          </w:cols>
          <w:pgMar w:left="240" w:top="557"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31"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Big Rock Partners Acquisition Corp. (the “Company”) is a newly organized blank check company incorporated in Delaware on September 18, 2017. The Company was formed for the purpose of acquiring, through a merger, share exchange, asset acquisition, stock purchase, reorganization, recapitalization, or other similar business transaction, one or more operating businesses or entities that the Company has not yet identified (a “Business Combination”). Although the Company is not limited to a particular industry or geographic region for purposes of consummating a Business Combination, the Company intends to focus on businesses in the senior housing and care industry in the United States.</w:t>
      </w:r>
    </w:p>
    <w:p>
      <w:pPr>
        <w:spacing w:after="0" w:line="102"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At March 31, 2018, the Company had not yet commenced operations. All activity through March 31, 2018 relates to the Company’s formation, its initial public offering (“Initial Public Offering”), which is described below, and the search for a target business with which to complete a Business Combination.</w:t>
      </w:r>
    </w:p>
    <w:p>
      <w:pPr>
        <w:spacing w:after="0" w:line="139"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The registration statements for the Company’s Initial Public Offering were declared effective on November 20, 2017. On November 22, 2017, the Company consummated the Initial Public Offering of 6,000,000 units (“Units” and, with respect to the common stock included in the Units being offered, the “Public Shares”), generating gross proceeds of $60,000,000, which is described in Note 3. Each Unit consists of one share of common stock, one right (“Public Right”) and one-half of one warrant (“Public Warrant”). Each Public Right will convert into one-tenth (1/10) of one share of common stock upon consummation of a Business Combination. Each whole Public Warrant entitles the holder to purchase one share of common stock at an exercise price of $11.50 per whole share.</w:t>
      </w:r>
    </w:p>
    <w:p>
      <w:pPr>
        <w:spacing w:after="0" w:line="170"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Simultaneously with the Initial Public Offering, the Company consummated the sale of 250,000 units (the “Private Placement Units”) at a price of $10.00 per Unit in a private placement to Big Rock Partners Sponsor, LLC (the “Sponsor”), generating gross proceeds of $2,500,000, which is described in Note 4.</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Following the closing of the Initial Public Offering, an amount of $60,000,000 ($10.00 per Unit) from the net proceeds of the sale of the Units in the Initial Public Offering and the Private Placement Units was placed in a trust account (“Trust Account”) which may be invested in U.S. government securities, within the meaning set forth in Section 2(a)(16) of the Investment Company Act of 1940, as amended (the “Investment Company Act”), with a maturity of 180 days or less or in any open-ended investment company that holds itself out as a money market fund selected by the Company meeting the conditions of Rule 2a-7 of the Investment Company Act, as determined by the Company, until the earlier of: (i) the consummation of a Business Combination or (ii) the distribution of the Trust Account, as described below.</w:t>
      </w:r>
    </w:p>
    <w:p>
      <w:pPr>
        <w:spacing w:after="0" w:line="198"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On November 29, 2017, in connection with the underwriters’ exercise of their over-allotment option in full, the Company consummated the sale of an additional 900,000 Units, and the sale of an additional 22,500 Private Placement Units at $10.00 per unit, generating total gross proceeds of $9,225,000. A total of $9,000,000 of the net proceeds were deposited in the Trust Account, bringing the aggregate proceeds held in the Trust Account to $69,000,000.</w:t>
      </w:r>
    </w:p>
    <w:p>
      <w:pPr>
        <w:spacing w:after="0" w:line="161"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At the closing of the Initial Public Offering, the Company issued EarlyBirdCapital, Inc. (“EarlyBirdCapital”) and its designees 120,000 shares of common stock (the “Representative Shares”). On November 29, 2017, the Company issued an additional 18,000 Representative Shares for no consideration (see Note 7).</w:t>
      </w:r>
    </w:p>
    <w:p>
      <w:pPr>
        <w:spacing w:after="0" w:line="13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Transaction costs amounted to $2,172,419, consisting of $1,725,000 of underwriting fees and $447,419 of Initial Public Offering costs. In addition, at March 31, 2018, $267,191 of cash was held outside of the Trust Account and is available for working capital purposes.</w:t>
      </w:r>
    </w:p>
    <w:p>
      <w:pPr>
        <w:spacing w:after="0" w:line="18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Private Placement Units, although substantially all of the net proceeds are intended to be applied generally toward consummating a Business Combination. The Company’s initial Business Combination must be with one or more target businesses that together have a fair market value equal to at least 80% of the balance in the Trust Account (excluding taxes payable on income earned on the Trust Account) at the time of the signing an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17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will provide its stockholders with the opportunity to redeem all or a portion of their shares included in the Units sold in the Initial Public Offering (the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stockholders will be entitled to redeem their shares for a pro rata portion of the amount then on deposit in the Trust Account ($10.00 per share, plus any pro rata interest earned on the funds held in the Trust Account and not previously released to the Company to pay its franchise and income tax obligations). There will be no redemption rights upon the completion of a Business Combination with respect to the Company’s warrants.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Company will proceed with a Business Combination if the Company has net tangible assets of at least $5,000,001 upon such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(“SEC”), and file tender offer documents with the SEC prior to completing a Business Combination. If, however, a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the Company’s Sponsor, officers and directors (the “Initial Stockholders”) have agreed (a) to vote their Founder’s Shares (as defined in Note 5), Placement Shares (as defined in Note 4) and any Public Shares held by them in favor of approving a Business Combination and (b) not to convert any Founder’s Shares, Placement Shares and any Public Shares held by them in connection with a stockholder vote to approve a Business Combination or sell any such shares to the Company in a tender offer in connection with a Business Combination. Additionally, each public stockholder may elect to redeem their Public Shares irrespective of whether they vote for or against the proposed transaction.</w:t>
      </w:r>
    </w:p>
    <w:p>
      <w:pPr>
        <w:spacing w:after="0" w:line="17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Company will have until 12 months from the closing of the Initial Public Offering to consummate a Business Combination. However, if the Company anticipates that it may not be able to consummate a Business Combination within 12 months, the Company may extend the period of time to consummate a Business Combination up to two times, each by an additional three months (for a total of up to 18 months to complete a Business Combination) (the “Combination Period”). Pursuant to the terms of the Amended and Restated Certificate of Incorporation and the trust agreement entered into between the Company and Continental Stock Transfer &amp; Trust Company on November 20, 2017, in order to extend the time available for the Company to consummate a Business Combination, the Sponsor or its affiliates or designees must deposit into the Trust Account $690,000 ($0.10 per share), up to an aggregate of $1,380,000, or $0.20 per share, if the Company extends for the full six months, on or prior to the date of the applicable deadline, for each three month extension. The Sponsor and its affiliates or designees are not obligated to fund the Trust Account to extend the time for the Company to complete a Business Combination.</w:t>
      </w:r>
    </w:p>
    <w:p>
      <w:pPr>
        <w:spacing w:after="0" w:line="17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If the Company is unable to complete a Business Combination within the Combination Period, the Company will (i) cease all operations except for the purpose of winding up, (ii) as promptly as reasonably possible but no more than ten business days thereafter, redeem 100% of the outstanding Public Shares, at a per share price, payable in cash, equal to the aggregate amount then on deposit in the Trust Account, including interest earned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remaining stockholders and the Company’s board of directors, proceed to commence a voluntary liquidation and thereby a formal dissolution of the Company, subject in each case to its obligations to provide for claims of creditors and the requirements of applicable law. In the event of such distribution, it is possible that the per share value of the assets remaining available for distribution (including Trust Account assets) will be less than the $10.00 per Unit in the Initial Public Offering.</w:t>
      </w:r>
    </w:p>
    <w:p>
      <w:pPr>
        <w:spacing w:after="0" w:line="17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Initial Stockholders have agreed to (i) waive their redemption rights with respect to Founder Shares, Placement Shares and any Public Shares they may acquire during or after the Initial Public Offering in connection with the consummation of a Business Combination, (ii) to waive their rights to liquidating distributions from the Trust Account with respect to their Founder’s Shares and Placement Shares if the Company fails to consummate a Business Combination within the Combination Period and (iii) 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with the opportunity to redeem their Public Shares in conjunction with any such amendment. However, the Initial Stockholders will be entitled to liquidating distributions with respect to any Public Shares acquired if the Company fails to consummate a Business Combination or liquidates within the Combination Period.</w:t>
      </w:r>
    </w:p>
    <w:p>
      <w:pPr>
        <w:spacing w:after="0" w:line="172"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In order to protect the amounts held in the Trust Account, A/Z Property Partners, LLC (“AZ Property Partners”), an entity majority owned and controlled by Richard Ackerman, the Company’s Chairman, President and Chief Executive Officer,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Additionally, the agreement entered into by AZ Property Partners specifically provides for two exceptions to the indemnity it has given: it will have no liability (1) as to any claimed amounts owed to a target business or vendor or other entity who has executed an agreement with the Company waiving any right, title, interest or claim of any kind they may have in or to any monies held in the Trust Account, or</w:t>
      </w:r>
    </w:p>
    <w:p>
      <w:pPr>
        <w:spacing w:after="0" w:line="1" w:lineRule="exact"/>
        <w:rPr>
          <w:sz w:val="20"/>
          <w:szCs w:val="20"/>
          <w:color w:val="auto"/>
        </w:rPr>
      </w:pPr>
    </w:p>
    <w:p>
      <w:pPr>
        <w:jc w:val="both"/>
        <w:ind w:firstLine="8"/>
        <w:spacing w:after="0" w:line="295" w:lineRule="auto"/>
        <w:tabs>
          <w:tab w:leader="none" w:pos="269"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to any claims for indemnification by the underwriters against certain liabilities, including liabilities under the Securities Act of 1933, as amended (the “Securities Act”). The Company will seek to reduce the possibility that A/Z Property Partners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p>
      <w:pPr>
        <w:ind w:right="6660" w:firstLine="8"/>
        <w:spacing w:after="0" w:line="504" w:lineRule="auto"/>
        <w:tabs>
          <w:tab w:leader="none" w:pos="17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Securities and Exchange Commission (“SEC”). Certain information or footnote disclosures normally included in financial statements prepared in accordance with GAAP have been condensed or omitted, pursuant to the rules and regulations of the SEC for interim financial reporting.</w:t>
      </w:r>
    </w:p>
    <w:p>
      <w:pPr>
        <w:spacing w:after="0" w:line="167"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Accordingly, they do not include all the information and footnotes necessary for a comprehensive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6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accompanying unaudited condensed financial statements should be read in conjunction with the Company’s Annual Report on Form 10-K for the year ended December 31, 2017 as filed with the SEC on March 23, 2018, which contains the audited financial statements and notes thereto. The financial information as of December 31, 2017 is derived from the audited financial statements presented in the Company’s Annual Report on Form 10-K for the year ended December 31, 2017. The interim results for the three months ended March 31, 2018 are not necessarily indicative of the results to be expected for the year ending December 31, 2018 or for any future interim periods.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3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9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will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94"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the Company’s estimates.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March 31, 2018 and December 31, 2017.</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 held in Trust Account</w:t>
      </w:r>
    </w:p>
    <w:p>
      <w:pPr>
        <w:spacing w:after="0" w:line="231"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At March 31, 2018 and December 31, 2017, the assets held in the Trust Account were held in U.S. Treasury Bills. During the three months ended March 31, 2018, the Company withdrew $23,134 of interest income to pay its franchise tax obligations.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3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March 31, 2018 and December 31, 2017, common stock subject to possible redemption is presented at redemption value as temporary equity, outside of the stockholders’ equity section of the Company’s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97"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As of March 31, 2018 and December 31, 2017,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70" w:lineRule="exact"/>
        <w:rPr>
          <w:sz w:val="20"/>
          <w:szCs w:val="20"/>
          <w:color w:val="auto"/>
        </w:rPr>
      </w:pPr>
    </w:p>
    <w:p>
      <w:pPr>
        <w:jc w:val="both"/>
        <w:ind w:firstLine="324"/>
        <w:spacing w:after="0" w:line="335" w:lineRule="auto"/>
        <w:rPr>
          <w:sz w:val="20"/>
          <w:szCs w:val="20"/>
          <w:color w:val="auto"/>
        </w:rPr>
      </w:pPr>
      <w:r>
        <w:rPr>
          <w:rFonts w:ascii="Arial" w:cs="Arial" w:eastAsia="Arial" w:hAnsi="Arial"/>
          <w:sz w:val="15"/>
          <w:szCs w:val="15"/>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w:t>
      </w:r>
    </w:p>
    <w:p>
      <w:pPr>
        <w:spacing w:after="0" w:line="142"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On December 22, 2017 the U.S. Tax Cuts and Jobs Act of 2017 (“Tax Reform”) was signed into law. As a result of Tax Reform, the U.S. statutory tax rate was lowered from 35% to 21% effective January 1, 2018, among other changes. ASC Topic 740 requires companies to recognize the effect of tax law changes in the period of enactment; therefore, the Company was required to revalue its deferred tax assets and liabilities as of December 31, 2017 at the new rate.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common share</w:t>
      </w:r>
    </w:p>
    <w:p>
      <w:pPr>
        <w:spacing w:after="0" w:line="23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Net loss per common share is computed by dividing net loss by the weighted average number of common shares outstanding for the period. The Company applies the two-class method in calculating earnings per share. Shares of common stock subject to possible redemption at March 31, 2018, which are not currently redeemable and are not redeemable at fair value, have been excluded from the calculation of basic loss per share since such shares, if redeemed, only participate in their pro rata share of the Trust Account earnings. The Company has not considered the effect of (1) warrants sold in the Initial Public Offering and private placement to purchase 3,586,250 shares of common stock, (2) rights sold in the Initial Public Offering and private placement that convert into 717,250 shares of common stock and (3) 600,000 shares of common stock, warrants to purchase 300,000 shares of common stock and rights that convert into 60,000 shares of common stock in the unit purchase option sold to the underwriter, in the calculation of diluted loss per share, since the exercise of the warrants, the conversion of the rights into shares of common stock and the exercise of the unit purchase option is contingent upon the occurrence of future events. As a result, diluted loss per share is the same as basic loss per share for the periods.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loss per common share</w:t>
      </w:r>
    </w:p>
    <w:p>
      <w:pPr>
        <w:spacing w:after="0" w:line="231" w:lineRule="exact"/>
        <w:rPr>
          <w:sz w:val="20"/>
          <w:szCs w:val="20"/>
          <w:color w:val="auto"/>
        </w:rPr>
      </w:pPr>
    </w:p>
    <w:p>
      <w:pPr>
        <w:jc w:val="both"/>
        <w:ind w:right="20" w:firstLine="324"/>
        <w:spacing w:after="0" w:line="332" w:lineRule="auto"/>
        <w:rPr>
          <w:sz w:val="20"/>
          <w:szCs w:val="20"/>
          <w:color w:val="auto"/>
        </w:rPr>
      </w:pPr>
      <w:r>
        <w:rPr>
          <w:rFonts w:ascii="Arial" w:cs="Arial" w:eastAsia="Arial" w:hAnsi="Arial"/>
          <w:sz w:val="16"/>
          <w:szCs w:val="16"/>
          <w:color w:val="auto"/>
        </w:rPr>
        <w:t>The Company’s net income is adjusted for the portion of income that is attributable to common stock subject to redemption, as these shares only participate in the income of the Trust Account and not the losses of the Company. Accordingly, basic and diluted loss per share is calculated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1"/>
              </w:rPr>
              <w:t>Three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87"/>
              </w:rPr>
              <w:t>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180" w:type="dxa"/>
            <w:vAlign w:val="bottom"/>
          </w:tcPr>
          <w:p>
            <w:pPr>
              <w:spacing w:after="0"/>
              <w:rPr>
                <w:sz w:val="15"/>
                <w:szCs w:val="15"/>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1"/>
              </w:rPr>
              <w:t>March 31,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Less: Income attributable to common stock subject to redemption</w:t>
            </w:r>
          </w:p>
        </w:tc>
        <w:tc>
          <w:tcPr>
            <w:tcW w:w="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(185,056)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Adjusted 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(169,575)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1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2,590,985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10200" w:type="dxa"/>
            <w:vAlign w:val="bottom"/>
            <w:gridSpan w:val="2"/>
          </w:tcPr>
          <w:p>
            <w:pPr>
              <w:spacing w:after="0"/>
              <w:rPr>
                <w:sz w:val="20"/>
                <w:szCs w:val="20"/>
                <w:color w:val="auto"/>
              </w:rPr>
            </w:pPr>
            <w:r>
              <w:rPr>
                <w:rFonts w:ascii="Arial" w:cs="Arial" w:eastAsia="Arial" w:hAnsi="Arial"/>
                <w:sz w:val="18"/>
                <w:szCs w:val="18"/>
                <w:b w:val="1"/>
                <w:bCs w:val="1"/>
                <w:color w:val="auto"/>
              </w:rPr>
              <w:t>Concentration of credit risk</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accounts in a financial institution which, at times may exceed the Federal depository insurance coverage of $250,000. At March 31, 2018 and December 31, 2017, the Company had not experienced losses on this account and management believes the Company is not exposed to significant risks on such account.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31"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Topic 820, “Fair Value Measurements and Disclosures,” approximates the carrying amounts represented in the accompanying balance sheets, primarily due to their short-term nature.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3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condensed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INITIAL PUBLIC OFFERING</w:t>
      </w:r>
    </w:p>
    <w:p>
      <w:pPr>
        <w:spacing w:after="0" w:line="231"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Pursuant to the Initial Public Offering, the Company sold 6,900,000 units at a purchase price of $10.00 per Unit, which includes the full exercise by the underwriters of their over-allotment option of 900,000 Units at $10.00 per Unit. Each Unit consists of one share of common stock, one Public Right and one-half of one Public Warrant. Each Public Right will convert into one-tenth (1/10) of one share of common stock upon consummation of a Business Combination (see Note 7). Each whole Public Warrant entitles the holder to purchase one share of common stock at an exercise price of $11.50 per whole share (see Note 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PRIVATE PLACEMENT</w:t>
      </w:r>
    </w:p>
    <w:p>
      <w:pPr>
        <w:spacing w:after="0" w:line="23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Simultaneously with the Initial Public Offering, the Sponsor purchased 250,000 Private Placement Units, at $10.00 per Private Placement Unit, for an aggregate purchase price of $2,500,000. On November 29, 2017, the Company consummated the sale of an additional 22,500 Private Placement Units at a price of $10.00 per unit, which were purchased by the Sponsor, generating gross proceeds of $225,000. Each Private Placement Unit consists of one share of common stock (“Placement Share”), one right (“Placement Right”) and one-half of one warrant (each, a “Placement Warrant”), each whole Placement Warrant exercisable to purchase one share of common stock at an exercise price of $11.50. The proceeds from the Private Placement Units were in part added to the proceeds from the Initial Public Offering held in the Trust Account. If the Company does not complete a Business Combination within the Combination Period, the proceeds from the sale of the Private Placement Units will be used to fund the redemption of the Public Shares (subject to the requirements of applicable law), and the Placement Rights and the Placement Warrants will expire worthless.</w:t>
      </w:r>
    </w:p>
    <w:p>
      <w:pPr>
        <w:spacing w:after="0" w:line="172"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The Private Placement Units are identical to the Units sold in the Initial Public Offering except that the Placement Warrants (i) are not redeemable by the Company and (ii) may be exercised for cash or on a cashless basis, so long as they are held by the initial purchaser or any of its permitted transferees. In addition, the Private Placement Units and their component securities may not be transferable, assignable or salable until after the consummation of a Business Combination, subject to certain limited exceptions. If the Placement Warrants are held by someone other than the initial purchasers or their permitted transferees, the Placement Warrants will be redeemable by the Company and exercisable by such holders on the same basis as the Public Warrants.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p>
      <w:pPr>
        <w:ind w:right="8340" w:firstLine="8"/>
        <w:spacing w:after="0" w:line="504" w:lineRule="auto"/>
        <w:tabs>
          <w:tab w:leader="none" w:pos="176"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Founder Shares</w:t>
      </w:r>
    </w:p>
    <w:p>
      <w:pPr>
        <w:spacing w:after="0" w:line="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September 2017, the Company issued an aggregate of 1,437,500 shares of common stock to the Sponsor (“Founder’s Shares”) for an aggregate purchase price of $25,000. On November 20, 2017, the Company effectuated a 1.2-for-1 stock dividend of its common stock resulting in an aggregate of 1,725,000 Founder's Shares outstanding. The Founder’s Shares included an aggregate of up to 225,000 shares subject to forfeiture by the Sponsor to the extent that the underwriters’ over-allotment was not exercised in full or in part, so that the Initial Stockholders would own 20% of the Company’s issued and outstanding shares after the Initial Public Offering (assuming the Initial Stockholders do not purchase any Public Shares in the Initial Public Offering and excluding the Private Placement Units and the Representative Shares (as defined in Note 6)). As a result of the underwriters’ election to fully exercise their over-allotment option, 225,000 Founder Shares are no longer subject to forfeiture.</w:t>
      </w:r>
    </w:p>
    <w:p>
      <w:pPr>
        <w:spacing w:after="0" w:line="17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The Initial Stockholders have agreed not to transfer, assign or sell any of the Founder’s Shares until the earlier of (i) one year after the date of the consummation of a Business Combination, or (ii) with respect to 50% of the Founder Shares, the date on which the closing price of the Company’s common stock equals or exceeds $12.50 per share (as adjusted for stock splits, stock dividends, reorganizations and recapitalizations) for any 20 trading days within any 30-trading day period commencing after a Business Combination, or earlier, in each case, if </w:t>
      </w:r>
      <w:r>
        <w:rPr>
          <w:rFonts w:ascii="Arial" w:cs="Arial" w:eastAsia="Arial" w:hAnsi="Arial"/>
          <w:sz w:val="16"/>
          <w:szCs w:val="16"/>
          <w:color w:val="231F20"/>
        </w:rPr>
        <w:t>subsequent to a Business Combination, the Company consummates a</w:t>
      </w:r>
      <w:r>
        <w:rPr>
          <w:rFonts w:ascii="Arial" w:cs="Arial" w:eastAsia="Arial" w:hAnsi="Arial"/>
          <w:sz w:val="16"/>
          <w:szCs w:val="16"/>
          <w:color w:val="auto"/>
        </w:rPr>
        <w:t xml:space="preserve"> </w:t>
      </w:r>
      <w:r>
        <w:rPr>
          <w:rFonts w:ascii="Arial" w:cs="Arial" w:eastAsia="Arial" w:hAnsi="Arial"/>
          <w:sz w:val="16"/>
          <w:szCs w:val="16"/>
          <w:color w:val="231F20"/>
        </w:rPr>
        <w:t>subsequent liquidation, merger, stock exchange, reorganization or other similar transaction which results in all of the Company’s stockholders having the right to exchange their common stock for cash, securities or other property.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Services Agreement</w:t>
      </w:r>
    </w:p>
    <w:p>
      <w:pPr>
        <w:spacing w:after="0" w:line="23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entered into an agreement whereby, commencing on November 20, 2017 through the earlier of the consummation of a Business Combination or the Company’s liquidation, the Company will pay the Sponsor a monthly fee of $10,000 for office space, utilities and administrative support. For the three months ended March 31, 2018, the Company incurred $30,000 in fees for these services, of which $5,000 is included in accounts payable and accrued expenses in the accompanying condensed balance sheet.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3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an affiliate of the Sponsor, or the Company’s officers and directors may, but are not obligated to, loan the Company funds from time to time or at any time, as may be required (“Working Capital Loans”). Each Working Capital Loan would be evidenced by a promissory note. The Working Capital Loans would either be paid upon consummation of a Business Combination, without interest, or, at the holder’s discretion, up to $1,500,000 of the Working Capital Loans may be converted into units at a price of $10.00 per unit. The units would be identical to the Private Placement Units. In the event that a Business Combination does not close, the loans will be forgiven. There were no outstanding Working Capital Loans at March 31, 2018 and December 31, 2017.</w:t>
      </w:r>
    </w:p>
    <w:p>
      <w:pPr>
        <w:spacing w:after="0" w:line="168" w:lineRule="exact"/>
        <w:rPr>
          <w:sz w:val="20"/>
          <w:szCs w:val="20"/>
          <w:color w:val="auto"/>
        </w:rPr>
      </w:pPr>
    </w:p>
    <w:p>
      <w:pPr>
        <w:ind w:right="7880" w:firstLine="8"/>
        <w:spacing w:after="0" w:line="504" w:lineRule="auto"/>
        <w:tabs>
          <w:tab w:leader="none" w:pos="176"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Registration Rights</w:t>
      </w:r>
    </w:p>
    <w:p>
      <w:pPr>
        <w:spacing w:after="0" w:line="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Pursuant to a registration rights agreement entered into on November 20, 2017, the holders of the Founder Shares, Private Placement Units (and their underlying securities), Representative Shares (as defined below) and any Units that may be issued upon conversion of the Working Capital Loans (and their underlying securities) are entitled to registration rights. The holders of a majority of these securities are entitled to make up to three demands, excluding short form demands, that the Company register such securities. The holders of the majority of the Founder’s Shares can elect to exercise these registration rights at any time commencing three months prior to the date on which these shares of common stock are to be released from escrow. The holders of a majority of the Private Placement Units or Units issued to the Sponsor, officers, directors or their affiliates in payment of Working Capital Loans made to the Company (in each case, including the underlying securities) can elect to exercise these registration rights at any time after the Company consummates a Business Combination. In addition, the holders will have certain “piggy-back” registration rights with respect to registration statements filed subsequent to the completion of a Business Combination and rights to require the Company to register for resale such securities pursuant to Rule 415 under the Securities Act. Notwithstanding anything to the contrary, EarlyBirdCapital and its designees may participate in a “piggy-back” registration during the seven year period beginning on the effective date of the registration statement. However, the registration rights agreement will provide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3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has engaged EarlyBirdCapital as an advisor in connection with a Business Combination to assist the Company in holding meetings with its stockholders to discuss a potential Business Combination and the target business’ attributes, introduce the Company to potential investors that are interested in purchasing securities, assist the Company in obtaining stockholder approval for the Business Combination and assist the Company with its press releases and public filings in connection with a Business Combination. The Company will pay EarlyBirdCapital a cash fee for such services upon the consummation of a Business Combination in an amount equal to 4.0% of the gross proceeds of the Initial Public Offering (exclusive of any applicable finders’ fees which might become payable).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$0.001 per share with such designation,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preferences as may be determined from time to time by the Company’s Board of Directors. At March 31, 2018 and December 31, 2017, there were no shares of preferred stock issued or outstanding.</w:t>
      </w:r>
    </w:p>
    <w:p>
      <w:pPr>
        <w:spacing w:after="0" w:line="194"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b w:val="1"/>
          <w:bCs w:val="1"/>
          <w:i w:val="1"/>
          <w:iCs w:val="1"/>
          <w:color w:val="auto"/>
        </w:rPr>
        <w:t xml:space="preserve">Common Stock </w:t>
      </w:r>
      <w:r>
        <w:rPr>
          <w:rFonts w:ascii="Arial" w:cs="Arial" w:eastAsia="Arial" w:hAnsi="Arial"/>
          <w:sz w:val="16"/>
          <w:szCs w:val="16"/>
          <w:color w:val="auto"/>
        </w:rPr>
        <w:t>— The Company is authorized to issue 100,000,000 shares of common stock with a par value of $0.001 per share. Holders of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are entitled to one vote for each share. At March 31, 2018 and December 31, 2017, there were 2,605,782 and 2,590,985 shares of common stock issued and outstanding (excluding 6,429,718 and 6,444,515 shares of common stock subject to possible redemption), respectively.</w:t>
      </w:r>
    </w:p>
    <w:p>
      <w:pPr>
        <w:spacing w:after="0" w:line="16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b w:val="1"/>
          <w:bCs w:val="1"/>
          <w:i w:val="1"/>
          <w:iCs w:val="1"/>
          <w:color w:val="auto"/>
        </w:rPr>
        <w:t xml:space="preserve">Rights </w:t>
      </w:r>
      <w:r>
        <w:rPr>
          <w:rFonts w:ascii="Arial" w:cs="Arial" w:eastAsia="Arial" w:hAnsi="Arial"/>
          <w:sz w:val="16"/>
          <w:szCs w:val="16"/>
          <w:color w:val="auto"/>
        </w:rPr>
        <w:t>— Each holder of a right will receive one-tenth (1/10) of one share of common stock upon consummation of a Business Combination, even if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 of such right redeemed all shares held by it in connection with a Business Combination. No fractional shares will be issued upon conversion of the rights. No additional consideration will be required to be paid by a holder of rights in order to receive its additional shares upon consummation of a Business Combination, as the consideration related thereto has been included in the Unit purchase price paid for by investors in the Initial Public Offering. If the Company enters into a definitive agreement for a Business Combination in which the Company will not be the surviving entity, the definitive agreement will provide for the holders of rights to receive the same per share consideration the holders of the common stock will receive in the transaction on an as-converted into common stock basis and each holder of a right will be required to affirmatively convert its rights in order to receive 1/10 share underlying each right (without paying additional consideration). The shares issuable upon conversion of the rights will be freely tradable (except to the extent held by affiliates of the Company).</w:t>
      </w:r>
    </w:p>
    <w:p>
      <w:pPr>
        <w:spacing w:after="0" w:line="172"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If the Company is unable to complete a Business Combination within the Combination Period and the Company liquidates the funds held in the Trust Account, holders of rights will not receive any of such funds with respect to their rights, nor will they receive any distribution from the Company’s assets held outside of the Trust Account with respect to such rights, and the rights will expire worthless. Further, there are no contractual penalties for failure to deliver securities to the holders of the rights upon consummation of a Business Combination. Additionally, in no event will the Company be required to net cash settle the rights. Accordingly, holders of the rights might not receive the shares of common stock underlying the rights.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b w:val="1"/>
          <w:bCs w:val="1"/>
          <w:i w:val="1"/>
          <w:iCs w:val="1"/>
          <w:color w:val="auto"/>
        </w:rPr>
        <w:t xml:space="preserve">Warrants </w:t>
      </w:r>
      <w:r>
        <w:rPr>
          <w:rFonts w:ascii="Arial" w:cs="Arial" w:eastAsia="Arial" w:hAnsi="Arial"/>
          <w:sz w:val="16"/>
          <w:szCs w:val="16"/>
          <w:color w:val="auto"/>
        </w:rPr>
        <w:t>— Public Warrants may only be exercised for a whole number of shares. No fractional shares will be issued upon exercise of the Public Warrants.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Public Warrants will become exercisable on the later of the completion of a Business Combination and November 22, 2018; provided in that the Company has an effective registration statement under the Securities Act covering the shares of common stock issuable upon exercise of the Public Warrants and a current prospectus relating to them is available. The Company has agreed that as soon as practicable, the Company will use its best efforts to file with the SEC a registration statement for the registration, under the Securities Act, of the shares of common stock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Notwithstanding the foregoing, if a registration statement covering the shares of common stock issuable upon exercise of the Public Warrants is not effective 90 days following the consummation of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The Public Warrants will expire five years after the completion of a Business Combination or earlier upon redemption or liquidation.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may redeem the Public Warrants:</w:t>
      </w:r>
    </w:p>
    <w:p>
      <w:pPr>
        <w:spacing w:after="0" w:line="225" w:lineRule="exact"/>
        <w:rPr>
          <w:sz w:val="20"/>
          <w:szCs w:val="20"/>
          <w:color w:val="auto"/>
        </w:rPr>
      </w:pPr>
    </w:p>
    <w:p>
      <w:pPr>
        <w:ind w:left="500" w:hanging="22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500" w:hanging="22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500" w:hanging="22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any time during the exercise period;</w:t>
      </w:r>
    </w:p>
    <w:p>
      <w:pPr>
        <w:spacing w:after="0" w:line="225" w:lineRule="exact"/>
        <w:rPr>
          <w:rFonts w:ascii="Arial" w:cs="Arial" w:eastAsia="Arial" w:hAnsi="Arial"/>
          <w:sz w:val="18"/>
          <w:szCs w:val="18"/>
          <w:color w:val="auto"/>
        </w:rPr>
      </w:pPr>
    </w:p>
    <w:p>
      <w:pPr>
        <w:ind w:left="500" w:hanging="22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225" w:lineRule="exact"/>
        <w:rPr>
          <w:rFonts w:ascii="Arial" w:cs="Arial" w:eastAsia="Arial" w:hAnsi="Arial"/>
          <w:sz w:val="18"/>
          <w:szCs w:val="18"/>
          <w:color w:val="auto"/>
        </w:rPr>
      </w:pPr>
    </w:p>
    <w:p>
      <w:pPr>
        <w:ind w:left="500" w:hanging="220"/>
        <w:spacing w:after="0" w:line="332"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and only if, the last sale price of the Company’s common stock equals or exceeds $21.00 per share for any 20 trading days within a 30-trading day period ending on the third business day prior to the date on which the Company sends the notice of redemption to the warrant holders.</w:t>
      </w:r>
    </w:p>
    <w:p>
      <w:pPr>
        <w:spacing w:after="0" w:line="139" w:lineRule="exact"/>
        <w:rPr>
          <w:rFonts w:ascii="Arial" w:cs="Arial" w:eastAsia="Arial" w:hAnsi="Arial"/>
          <w:sz w:val="16"/>
          <w:szCs w:val="16"/>
          <w:color w:val="auto"/>
        </w:rPr>
      </w:pPr>
    </w:p>
    <w:p>
      <w:pPr>
        <w:ind w:left="500" w:hanging="22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8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 Shares</w:t>
      </w:r>
    </w:p>
    <w:p>
      <w:pPr>
        <w:spacing w:after="0" w:line="23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At the closing of the Initial Public Offering, the Company issued EarlyBirdCapital and its designees 120,000 Representative Shares. On November 29, 2017, the Company issued an additional 18,000 Representative Shares for no consideration. The Company accounted for the Representative Shares as an expense of the Initial Public Offering resulting in a charge directly to stockholders’ equity. The Company determined the fair value of Representative Shares to be $1,380,000 based upon the offering price of the Units of $10.00 per Unit. The underwriter has agreed not to transfer, assign or sell any such shares until the completion of a Business Combination. In addition, the underwriter and its designees have agreed (i) to waive their redemption rights with respect to such shares in connection with the completion of a Business Combination and (ii) to waive their rights to liquidating distributions from the Trust Account with respect to such shares if the Company fails to complete a Business Combination within the Combination Period.</w:t>
      </w:r>
    </w:p>
    <w:p>
      <w:pPr>
        <w:spacing w:after="0" w:line="172"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The shares have been deemed compensation by FINRA and are therefore subject to a lock-up for a period of 180 days pursuant to Rule 5110(g)(1) of FINRA’s NASD Conduct Rules. Pursuant to FINRA Rule 5110(g)(1), these securities will not be the subject of any hedging, short sale, derivative, put or call transaction that would result in the economic disposition of the securities by any person for a period of 180 days immediately following the date of the Initial Public Offering, nor may they be sold, transferred, assigned, pledged or hypothecated for a period of 180 days immediately following the Initial Public Offering except to any underwriter and selected dealer participating in the Initial Public Offering and their bona fide officers or partners.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Purchase Option</w:t>
      </w:r>
    </w:p>
    <w:p>
      <w:pPr>
        <w:spacing w:after="0" w:line="23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November 22, 2017, the Company sold to EarlyBirdCapital, for $100, an option to purchase up to 600,000 Units exercisable at $10.00 per Unit (or an aggregate exercise price of $6,000,000) commencing on the later of November 20, 2018 and the consummation of a Business Combination. The unit purchase option may be exercised for cash or on a cashless basis, at the holder’s option, and expires five years from November 20, 2017. The Units issuable upon exercise of this option are identical to those offered in the Initial Public Offering. The Company accounted for the unit purchase option, inclusive of the receipt of $100 cash payment, as an expense of the Initial Public Offering resulting in a charge directly to stockholders’ equity. The Company estimated the fair value of this unit purchase option to be approximately $2,042,889 (or $3.40 per Unit) using the Black-Scholes option-pricing model. The fair value of the unit purchase option granted to the underwriters was estimated as of the date of grant using the following assumptions: (1) expected volatility of 35%, (2) risk-free interest rate of 2.05% and (3) expected life of five years. The option and such units purchased pursuant to the option, as well as the common stock underlying such units, the rights included in such units, the common stock that is issuable for the rights included in such units, the warrants included in such units, and the shares underlying such warrants, have been deemed compensation by FINRA and are therefore subject to a 180-day lock-up pursuant to Rule 5110(g)(1) of FINRA’s NASDAQ Conduct Rules. Additionally, the option may not be sold, transferred, assigned, pledged or hypothecated for a one-year period (including the foregoing 180-day period) following the date of Initial Public Offering except to any underwriter and selected dealer participating in the Initial Public Offering and their bona fide officers or partners. The option grants to holders demand and “piggy back” rights for periods of five and seven years, respectively, from the effective date of the registration statement with respect to the registration under the Securities Act of the securities directly and indirectly issuable upon exercise of the option. The Company will bear all fees and expenses attendant to registering the securities, other than underwriting commissions which will be paid for by the holders themselves. The exercise price and number of units issuable upon exercise of the option may be adjusted in certain circumstances including in the event of a stock dividend, or the Company’s recapitalization, reorganization, merger or consolidation. However, the option will not be adjusted for issuances of common stock at a price below its exercise price.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23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8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8" w:lineRule="exact"/>
        <w:rPr>
          <w:sz w:val="20"/>
          <w:szCs w:val="20"/>
          <w:color w:val="auto"/>
        </w:rPr>
      </w:pPr>
    </w:p>
    <w:p>
      <w:pPr>
        <w:ind w:left="1500" w:hanging="904"/>
        <w:spacing w:after="0" w:line="332" w:lineRule="auto"/>
        <w:tabs>
          <w:tab w:leader="none" w:pos="14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39" w:lineRule="exact"/>
        <w:rPr>
          <w:sz w:val="20"/>
          <w:szCs w:val="20"/>
          <w:color w:val="auto"/>
        </w:rPr>
      </w:pPr>
    </w:p>
    <w:p>
      <w:pPr>
        <w:ind w:left="1500" w:hanging="904"/>
        <w:spacing w:after="0" w:line="268" w:lineRule="auto"/>
        <w:tabs>
          <w:tab w:leader="none" w:pos="14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186" w:lineRule="exact"/>
        <w:rPr>
          <w:sz w:val="20"/>
          <w:szCs w:val="20"/>
          <w:color w:val="auto"/>
        </w:rPr>
      </w:pPr>
    </w:p>
    <w:p>
      <w:pPr>
        <w:ind w:left="580"/>
        <w:spacing w:after="0"/>
        <w:tabs>
          <w:tab w:leader="none" w:pos="14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Unobservable inputs based on our assessment of the assumptions that market participants would use in pricing the asset or liability.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information about the Company’s assets that are measured at fair value on a recurring basis at and March 31, 2018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indicates the fair value hierarchy of the valuation inputs the Company utilized to determine such fair value: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40" w:type="dxa"/>
            <w:vAlign w:val="bottom"/>
          </w:tcPr>
          <w:p>
            <w:pPr>
              <w:spacing w:after="0"/>
              <w:rPr>
                <w:sz w:val="20"/>
                <w:szCs w:val="20"/>
                <w:color w:val="auto"/>
              </w:rPr>
            </w:pPr>
            <w:r>
              <w:rPr>
                <w:rFonts w:ascii="Arial" w:cs="Arial" w:eastAsia="Arial" w:hAnsi="Arial"/>
                <w:sz w:val="15"/>
                <w:szCs w:val="15"/>
                <w:b w:val="1"/>
                <w:bCs w:val="1"/>
                <w:color w:val="auto"/>
              </w:rPr>
              <w:t>Description</w:t>
            </w:r>
          </w:p>
        </w:tc>
        <w:tc>
          <w:tcPr>
            <w:tcW w:w="1120" w:type="dxa"/>
            <w:vAlign w:val="bottom"/>
          </w:tcPr>
          <w:p>
            <w:pPr>
              <w:jc w:val="right"/>
              <w:ind w:right="299"/>
              <w:spacing w:after="0"/>
              <w:rPr>
                <w:sz w:val="20"/>
                <w:szCs w:val="20"/>
                <w:color w:val="auto"/>
              </w:rPr>
            </w:pPr>
            <w:r>
              <w:rPr>
                <w:rFonts w:ascii="Arial" w:cs="Arial" w:eastAsia="Arial" w:hAnsi="Arial"/>
                <w:sz w:val="15"/>
                <w:szCs w:val="15"/>
                <w:b w:val="1"/>
                <w:bCs w:val="1"/>
                <w:color w:val="auto"/>
              </w:rPr>
              <w:t>Level</w:t>
            </w:r>
          </w:p>
        </w:tc>
        <w:tc>
          <w:tcPr>
            <w:tcW w:w="2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w w:val="91"/>
              </w:rPr>
              <w:t>March 31,2018</w:t>
            </w:r>
          </w:p>
        </w:tc>
        <w:tc>
          <w:tcPr>
            <w:tcW w:w="28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Arial" w:cs="Arial" w:eastAsia="Arial" w:hAnsi="Arial"/>
                <w:sz w:val="15"/>
                <w:szCs w:val="15"/>
                <w:b w:val="1"/>
                <w:bCs w:val="1"/>
                <w:color w:val="auto"/>
                <w:w w:val="91"/>
              </w:rPr>
              <w:t>December 31,2017</w:t>
            </w:r>
          </w:p>
        </w:tc>
      </w:tr>
      <w:tr>
        <w:trPr>
          <w:trHeight w:val="242"/>
        </w:trPr>
        <w:tc>
          <w:tcPr>
            <w:tcW w:w="74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1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held in Trust Account</w:t>
            </w:r>
          </w:p>
        </w:tc>
        <w:tc>
          <w:tcPr>
            <w:tcW w:w="112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EEFF"/>
          </w:tcPr>
          <w:p>
            <w:pPr>
              <w:jc w:val="right"/>
              <w:spacing w:after="0" w:line="244" w:lineRule="exact"/>
              <w:rPr>
                <w:sz w:val="20"/>
                <w:szCs w:val="20"/>
                <w:color w:val="auto"/>
              </w:rPr>
            </w:pPr>
            <w:r>
              <w:rPr>
                <w:rFonts w:ascii="Arial" w:cs="Arial" w:eastAsia="Arial" w:hAnsi="Arial"/>
                <w:sz w:val="22"/>
                <w:szCs w:val="22"/>
                <w:color w:val="auto"/>
              </w:rPr>
              <w:t>$69,218,279</w:t>
            </w:r>
          </w:p>
        </w:tc>
        <w:tc>
          <w:tcPr>
            <w:tcW w:w="1360" w:type="dxa"/>
            <w:vAlign w:val="bottom"/>
            <w:gridSpan w:val="2"/>
            <w:shd w:val="clear" w:color="auto" w:fill="CCEEFF"/>
          </w:tcPr>
          <w:p>
            <w:pPr>
              <w:ind w:left="280"/>
              <w:spacing w:after="0" w:line="244" w:lineRule="exact"/>
              <w:rPr>
                <w:sz w:val="20"/>
                <w:szCs w:val="20"/>
                <w:color w:val="auto"/>
              </w:rPr>
            </w:pPr>
            <w:r>
              <w:rPr>
                <w:rFonts w:ascii="Arial" w:cs="Arial" w:eastAsia="Arial" w:hAnsi="Arial"/>
                <w:sz w:val="22"/>
                <w:szCs w:val="22"/>
                <w:color w:val="auto"/>
                <w:w w:val="86"/>
              </w:rPr>
              <w:t>$69,029,443</w:t>
            </w:r>
          </w:p>
        </w:tc>
        <w:tc>
          <w:tcPr>
            <w:tcW w:w="140" w:type="dxa"/>
            <w:vAlign w:val="bottom"/>
            <w:shd w:val="clear" w:color="auto" w:fill="CCEEFF"/>
          </w:tcPr>
          <w:p>
            <w:pPr>
              <w:spacing w:after="0"/>
              <w:rPr>
                <w:sz w:val="21"/>
                <w:szCs w:val="21"/>
                <w:color w:val="auto"/>
              </w:rPr>
            </w:pPr>
          </w:p>
        </w:tc>
      </w:tr>
      <w:tr>
        <w:trPr>
          <w:trHeight w:val="430"/>
        </w:trPr>
        <w:tc>
          <w:tcPr>
            <w:tcW w:w="7440" w:type="dxa"/>
            <w:vAlign w:val="bottom"/>
          </w:tcPr>
          <w:p>
            <w:pPr>
              <w:spacing w:after="0"/>
              <w:rPr>
                <w:sz w:val="20"/>
                <w:szCs w:val="20"/>
                <w:color w:val="auto"/>
              </w:rPr>
            </w:pPr>
            <w:r>
              <w:rPr>
                <w:rFonts w:ascii="Arial" w:cs="Arial" w:eastAsia="Arial" w:hAnsi="Arial"/>
                <w:sz w:val="18"/>
                <w:szCs w:val="18"/>
                <w:b w:val="1"/>
                <w:bCs w:val="1"/>
                <w:color w:val="auto"/>
              </w:rPr>
              <w:t>9. SUBSEQUENT EVENTS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1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Company evaluates subsequent events and transactions that occur after the balance sheet date up to the date that the financial statements were issued.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Based upon this review, the Company did not identify any subsequent events that would have required adjustment or disclosure in the financial statements.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References in this report to “we,” “us” or the “Company” refer to Big Rock Partners Acquisition Corp. References to our “management” or our “management team” refer to our officers and directors, and references to the “Sponsor” refer to </w:t>
      </w:r>
      <w:r>
        <w:rPr>
          <w:rFonts w:ascii="Arial" w:cs="Arial" w:eastAsia="Arial" w:hAnsi="Arial"/>
          <w:sz w:val="16"/>
          <w:szCs w:val="16"/>
          <w:i w:val="1"/>
          <w:iCs w:val="1"/>
          <w:color w:val="auto"/>
        </w:rPr>
        <w:t>Big Rock Partners Sponsor, LLC, a company affiliated with our Chairman,</w:t>
      </w:r>
      <w:r>
        <w:rPr>
          <w:rFonts w:ascii="Arial" w:cs="Arial" w:eastAsia="Arial" w:hAnsi="Arial"/>
          <w:sz w:val="16"/>
          <w:szCs w:val="16"/>
          <w:color w:val="auto"/>
        </w:rPr>
        <w:t xml:space="preserve"> </w:t>
      </w:r>
      <w:r>
        <w:rPr>
          <w:rFonts w:ascii="Arial" w:cs="Arial" w:eastAsia="Arial" w:hAnsi="Arial"/>
          <w:sz w:val="16"/>
          <w:szCs w:val="16"/>
          <w:i w:val="1"/>
          <w:iCs w:val="1"/>
          <w:color w:val="auto"/>
        </w:rPr>
        <w:t>President and Chief Executive Officer</w:t>
      </w:r>
      <w:r>
        <w:rPr>
          <w:rFonts w:ascii="Arial" w:cs="Arial" w:eastAsia="Arial" w:hAnsi="Arial"/>
          <w:sz w:val="16"/>
          <w:szCs w:val="16"/>
          <w:color w:val="auto"/>
        </w:rPr>
        <w:t>. The following discussion and analysis of the Company’s financial condition and results of operations should be read in</w:t>
      </w:r>
      <w:r>
        <w:rPr>
          <w:rFonts w:ascii="Arial" w:cs="Arial" w:eastAsia="Arial" w:hAnsi="Arial"/>
          <w:sz w:val="16"/>
          <w:szCs w:val="16"/>
          <w:i w:val="1"/>
          <w:iCs w:val="1"/>
          <w:color w:val="auto"/>
        </w:rPr>
        <w:t xml:space="preserve"> </w:t>
      </w:r>
      <w:r>
        <w:rPr>
          <w:rFonts w:ascii="Arial" w:cs="Arial" w:eastAsia="Arial" w:hAnsi="Arial"/>
          <w:sz w:val="16"/>
          <w:szCs w:val="16"/>
          <w:color w:val="auto"/>
        </w:rPr>
        <w:t>conjunction with the financial statements and the notes thereto contained elsewhere in this report. Certain information contained in the discussion and analysis set forth below includes forward-looking statements that involve risks and uncertainties.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Quarterly Report on Form 10-Q includes “forward-looking statements” within the meaning of Section 27A of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Form 10-Q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 for the year ending December 31, 2017 filed with the SEC on March 23, 2018.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 blank check company incorporated in Delaware on September 18, 2017 and formed for the purpose of entering into a merger, share exchange, asset acquisition, stock purchase, recapitalization, reorganization or other similar business combination with one or more target businesses or entities (a “Business Combination”). While our efforts in identifying a prospective target business for our initial Business Combination will not be limited to a particular industry or geographic region, we intend to initially focus our search on identifying a prospective target business in the senior housing and care industry in the United States. We intend to effectuate our Business Combination using cash from the proceeds of our Initial Public Offering and the sale of Private Placement Units that occurred simultaneously with the completion of our Initial Public Offering, our securities, debt or a combination of cash, securities and debt.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entire activity since September 18, 2017 (inception) up to November 20, 2017 was in preparation for our Initial Public Offering. Since our Initial Public Offering, our activity has been limited to the search for a prospective initial Business Combination, and we will not be generating any operating revenues until the closing and completion of our initial Business Combination. We expect to incur increased expenses as a result of being a public company (for legal, financial reporting, accounting and auditing compliance), as well as for due diligence expenses.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2018, we had a net income of $15,481, which consists of interest income on marketable securities held in the Trust Account of $213,569, offset by operating costs of $192,374, an unrealized loss on marketable securities held in the Trust Account of $1,599, and a provision for income taxes of $4,115.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22, 2017, we consummated our Initial Public Offering of 6,000,000 units (the “Units”) at a price of $10.00 per Unit, generating gross proceeds of $60,000,000. Simultaneously with the closing of the Initial Public Offering, we consummated the sale of 250,000 private units (the “Private Units”) to our sponsor, generating gross proceeds of $2,500,000 (the “Private Placement”).</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November 28, 2017, the underwriters elected to fully exercise their over-allotment option to purchase 900,000 additional Units (the “Over-allotment Units”) at a purchase price of $10.00 per Unit, generating gross proceeds of $9,000,000. In addition, simultaneously with the sale of the Over-Allotment Units, we consummated the sale of an additional 22,500 private units (the “Over-Allotment Private Units”) at $10.00 per unit, generating gross proceeds of $225,000.</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total of $69,000,000 of the net proceeds from the Initial Public Offering and the Private Placement (including the sale of the Over-Allotment Units and the Over-Allotment Private Units) were deposited in the Trust Account. We incurred costs in the aggregate amount of $2,172,419 related to Initial Public Offering, including $1,725,000 of underwriting fees and $447,419 of other costs.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March 31, 2018, we had marketable securities held in the Trust Account of $69,218,279 (including approximately $218,000 of interest income, net of unrealized losses) consisting of U.S Treasury bills with a maturity of 180 days or less. Interest income earned on the balance in the Trust Account may be used by us to pay taxes. During the three months ended March 31, 2018, we withdrew $23,134 of interest income from the Trust Account to pay our franchise tax obligations.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jc w:val="both"/>
        <w:spacing w:after="0" w:line="259" w:lineRule="auto"/>
        <w:rPr>
          <w:sz w:val="20"/>
          <w:szCs w:val="20"/>
          <w:color w:val="auto"/>
        </w:rPr>
      </w:pPr>
      <w:r>
        <w:rPr>
          <w:rFonts w:ascii="Arial" w:cs="Arial" w:eastAsia="Arial" w:hAnsi="Arial"/>
          <w:sz w:val="18"/>
          <w:szCs w:val="18"/>
          <w:color w:val="auto"/>
        </w:rPr>
        <w:t>For the three months ended March 31, 2018, cash used in operating activities amounted to $197,817, resulting primarily from interest earned on marketable securities held in the Trust Account of $213,569, offset by net income of $15,481 and an unrealized loss on marketable securities held in our Trust Account of $1,599. Changes in operating assets and liabilities used $1,328 of cash for operating activities.</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intend to use substantially all of the net proceeds of the Initial Public Offering, including the funds held in the Trust Account, to acquire a target business or businesses and to pay our expenses relating thereto. To the extent that our capital stock is used, in whole or in part, as consideration to effect our Business Combination, the remaining proceeds held in the Trust Account, as well as any other net proceeds not expended, will be used as working capital to finance the operations of the target business. Such working capital funds could be used in a variety of ways including, but not limited to, continuing or expanding the target business’ operations, for strategic acquisitions and for marketing, research and development of existing or new products. Such funds could also be used to repay any expenses or finders’ fees which we had incurred prior to the completion of our Business Combination if the funds available to us outside of the Trust Account were insufficient to cover such expenses.</w:t>
      </w:r>
    </w:p>
    <w:p>
      <w:pPr>
        <w:spacing w:after="0" w:line="172"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As of March 31, 2018, we had $267,191 of cash held outside the Trust Account and available for working capital purposes. We intend to use the funds held outside the Trust Account primarily to pay the expenses of being a public company and to identify and evaluate target businesses, perform business due diligence on prospective target businesses, travel to and from the offices, properties or similar locations of prospective target businesses or their representatives or owners, review corporate documents and material agreements of prospective target businesses, and structure, negotiate and complete a Business Combination.</w:t>
      </w:r>
    </w:p>
    <w:p>
      <w:pPr>
        <w:spacing w:after="0" w:line="15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order to finance transaction costs in connection with a Business Combination, our sponsor, an affiliate of our sponsor or certain of our officers and directors may, but are not obligated to, loan us funds as may be required. If we complete a Business Combination, we would repay such loaned amounts out of the proceeds of the Trust Account released to us. In the event that a Business Combination does not close, we may use a portion of the working capital held outside the Trust Account to repay such loaned amounts but no proceeds from our Trust Account would be used to repay such loaned amounts. Up to $1,500,000 of such loans may be convertible into units, at a price of $10.00 per unit at the option of the lender. The units would be identical to the Private Placement Units.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amounts necessary to do so, we may have insufficient funds available to operate our business prior to our Business Combination. 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 Subject to compliance with applicable securities laws, we would only complete such financing simultaneously with the completion of our Business Combination. If we are unable to complete our Business Combination because we do not have sufficient funds available to us, we will be forced to cease operations and liquidate the Trust Account. In addition, following our Business Combination, if cash on hand is insufficient, we may need to obtain additional financing in order to meet our obligations.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off-balance sheet arrangements as of March 31, 2018.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do not have any long-term debt, capital lease obligations, operating lease obligations or long-term liabilities other than an agreement to pay our sponsor a monthly fee of $10,000 for office space, utilities and administrative support provided to the Company. We began incurring these fees on November 20, 2017 and will continue to incur these fees monthly until the earlier of the completion of the Business Combination and the Company’s liquidation.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(“GAAP”)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The Company has identified the following critical accounting policy: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26282A"/>
        </w:rPr>
        <w:t>Common Stock subject to possible redemption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account for our common stock subject to possible conversion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at March 31, 2018, the common stock subject to possible redemption is presented at redemption value as temporary equity, outside of the stockholders’ equity section of our balance sheet.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consummation of our Initial Public Offering, we invested the funds held in the Trust Account in money market funds meeting certain conditions under Rule 2a-7 under the Investment Company Act, which invest solely in United States Treasuries. Due to the short-term nature of the money market fund’s investments, we do not believe that there will be an associated material exposure to interest rate risk.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March 31, 2018. Based upon their evaluation, our Chief Executive Officer and Chief Financial Officer concluded that our disclosure controls and procedures (as defined in Rules 13a-15 (e) and 15d-15 (e) under the Exchange Act) were effective as of March 31,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most recently completed fiscal quarter, there has been no change in our internal control over financial reporting that has materially affected, or is reasonably likely to materially affect, our internal control over financial reporting.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Factors that could cause our actual results to differ materially from those in this report include the risk factors described in our Annual Report on Form 10-K for the year ended December 31, 2017 filed with the SEC on March 23, 2018. As of the date of this Report, there have been no material changes to the risk factors disclosed in our Annual Report filed with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Quarterly Report on Form 10-Q.</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No.</w:t>
            </w:r>
          </w:p>
        </w:tc>
        <w:tc>
          <w:tcPr>
            <w:tcW w:w="10580" w:type="dxa"/>
            <w:vAlign w:val="bottom"/>
          </w:tcPr>
          <w:p>
            <w:pPr>
              <w:ind w:left="80"/>
              <w:spacing w:after="0"/>
              <w:rPr>
                <w:sz w:val="20"/>
                <w:szCs w:val="20"/>
                <w:color w:val="auto"/>
              </w:rPr>
            </w:pPr>
            <w:r>
              <w:rPr>
                <w:rFonts w:ascii="Arial" w:cs="Arial" w:eastAsia="Arial" w:hAnsi="Arial"/>
                <w:sz w:val="18"/>
                <w:szCs w:val="18"/>
                <w:b w:val="1"/>
                <w:bCs w:val="1"/>
                <w:color w:val="auto"/>
              </w:rPr>
              <w:t>Description of Exhibit</w:t>
            </w:r>
          </w:p>
        </w:tc>
      </w:tr>
      <w:tr>
        <w:trPr>
          <w:trHeight w:val="177"/>
        </w:trPr>
        <w:tc>
          <w:tcPr>
            <w:tcW w:w="840" w:type="dxa"/>
            <w:vAlign w:val="bottom"/>
            <w:gridSpan w:val="5"/>
            <w:shd w:val="clear" w:color="auto" w:fill="CCEEFF"/>
          </w:tcPr>
          <w:p>
            <w:pPr>
              <w:jc w:val="center"/>
              <w:ind w:right="40"/>
              <w:spacing w:after="0" w:line="176" w:lineRule="exact"/>
              <w:rPr>
                <w:rFonts w:ascii="Arial" w:cs="Arial" w:eastAsia="Arial" w:hAnsi="Arial"/>
                <w:sz w:val="18"/>
                <w:szCs w:val="18"/>
                <w:color w:val="0000EE"/>
                <w:w w:val="95"/>
              </w:rPr>
            </w:pPr>
            <w:hyperlink w:anchor="page20">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1</w:t>
              </w:r>
            </w:hyperlink>
            <w:r>
              <w:rPr>
                <w:rFonts w:ascii="Arial" w:cs="Arial" w:eastAsia="Arial" w:hAnsi="Arial"/>
                <w:sz w:val="18"/>
                <w:szCs w:val="18"/>
                <w:color w:val="000000"/>
                <w:w w:val="95"/>
              </w:rPr>
              <w:t>*</w:t>
            </w:r>
          </w:p>
        </w:tc>
        <w:tc>
          <w:tcPr>
            <w:tcW w:w="1058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0"/>
              </w:rPr>
              <w:t>Certification of Principal Executive Officer Pursuant to Securities Exchange Act Rules 13a-14(a) and 15(d)-14(a), as adopted Pursuant to Section</w:t>
            </w:r>
          </w:p>
        </w:tc>
      </w:tr>
      <w:tr>
        <w:trPr>
          <w:trHeight w:val="237"/>
        </w:trPr>
        <w:tc>
          <w:tcPr>
            <w:tcW w:w="1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05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302 of the Sarbanes-Oxley Act of 2002</w:t>
            </w:r>
          </w:p>
        </w:tc>
      </w:tr>
      <w:tr>
        <w:trPr>
          <w:trHeight w:val="176"/>
        </w:trPr>
        <w:tc>
          <w:tcPr>
            <w:tcW w:w="840" w:type="dxa"/>
            <w:vAlign w:val="bottom"/>
            <w:gridSpan w:val="5"/>
          </w:tcPr>
          <w:p>
            <w:pPr>
              <w:jc w:val="center"/>
              <w:ind w:right="40"/>
              <w:spacing w:after="0" w:line="176" w:lineRule="exact"/>
              <w:rPr>
                <w:rFonts w:ascii="Arial" w:cs="Arial" w:eastAsia="Arial" w:hAnsi="Arial"/>
                <w:sz w:val="18"/>
                <w:szCs w:val="18"/>
                <w:color w:val="0000EE"/>
                <w:w w:val="95"/>
              </w:rPr>
            </w:pPr>
            <w:hyperlink w:anchor="page21">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2</w:t>
              </w:r>
            </w:hyperlink>
            <w:r>
              <w:rPr>
                <w:rFonts w:ascii="Arial" w:cs="Arial" w:eastAsia="Arial" w:hAnsi="Arial"/>
                <w:sz w:val="18"/>
                <w:szCs w:val="18"/>
                <w:color w:val="000000"/>
                <w:w w:val="95"/>
              </w:rPr>
              <w:t>*</w:t>
            </w:r>
          </w:p>
        </w:tc>
        <w:tc>
          <w:tcPr>
            <w:tcW w:w="10580" w:type="dxa"/>
            <w:vAlign w:val="bottom"/>
          </w:tcPr>
          <w:p>
            <w:pPr>
              <w:ind w:left="80"/>
              <w:spacing w:after="0" w:line="176" w:lineRule="exact"/>
              <w:rPr>
                <w:sz w:val="20"/>
                <w:szCs w:val="20"/>
                <w:color w:val="auto"/>
              </w:rPr>
            </w:pPr>
            <w:r>
              <w:rPr>
                <w:rFonts w:ascii="Arial" w:cs="Arial" w:eastAsia="Arial" w:hAnsi="Arial"/>
                <w:sz w:val="18"/>
                <w:szCs w:val="18"/>
                <w:color w:val="auto"/>
                <w:w w:val="88"/>
              </w:rPr>
              <w:t>Certification of Principal Financial Officer Pursuant to Securities Exchange Act Rules 13a-14(a) and 15(d)-14(a), as adopted Pursuant to Section 302</w:t>
            </w:r>
          </w:p>
        </w:tc>
      </w:tr>
      <w:tr>
        <w:trPr>
          <w:trHeight w:val="236"/>
        </w:trPr>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20" w:type="dxa"/>
            <w:vAlign w:val="bottom"/>
          </w:tcPr>
          <w:p>
            <w:pPr>
              <w:spacing w:after="0"/>
              <w:rPr>
                <w:sz w:val="20"/>
                <w:szCs w:val="20"/>
                <w:color w:val="auto"/>
              </w:rPr>
            </w:pPr>
          </w:p>
        </w:tc>
        <w:tc>
          <w:tcPr>
            <w:tcW w:w="10580" w:type="dxa"/>
            <w:vAlign w:val="bottom"/>
          </w:tcPr>
          <w:p>
            <w:pPr>
              <w:ind w:left="80"/>
              <w:spacing w:after="0"/>
              <w:rPr>
                <w:sz w:val="20"/>
                <w:szCs w:val="20"/>
                <w:color w:val="auto"/>
              </w:rPr>
            </w:pPr>
            <w:r>
              <w:rPr>
                <w:rFonts w:ascii="Arial" w:cs="Arial" w:eastAsia="Arial" w:hAnsi="Arial"/>
                <w:sz w:val="18"/>
                <w:szCs w:val="18"/>
                <w:color w:val="auto"/>
              </w:rPr>
              <w:t>of the Sarbanes-Oxley Act of 2002</w:t>
            </w:r>
          </w:p>
        </w:tc>
      </w:tr>
      <w:tr>
        <w:trPr>
          <w:trHeight w:val="177"/>
        </w:trPr>
        <w:tc>
          <w:tcPr>
            <w:tcW w:w="840" w:type="dxa"/>
            <w:vAlign w:val="bottom"/>
            <w:gridSpan w:val="5"/>
            <w:shd w:val="clear" w:color="auto" w:fill="CCEEFF"/>
          </w:tcPr>
          <w:p>
            <w:pPr>
              <w:jc w:val="center"/>
              <w:ind w:right="40"/>
              <w:spacing w:after="0" w:line="176" w:lineRule="exact"/>
              <w:rPr>
                <w:rFonts w:ascii="Arial" w:cs="Arial" w:eastAsia="Arial" w:hAnsi="Arial"/>
                <w:sz w:val="18"/>
                <w:szCs w:val="18"/>
                <w:color w:val="0000EE"/>
                <w:w w:val="97"/>
              </w:rPr>
            </w:pPr>
            <w:hyperlink w:anchor="page22">
              <w:r>
                <w:rPr>
                  <w:rFonts w:ascii="Arial" w:cs="Arial" w:eastAsia="Arial" w:hAnsi="Arial"/>
                  <w:sz w:val="18"/>
                  <w:szCs w:val="18"/>
                  <w:color w:val="0000EE"/>
                  <w:w w:val="97"/>
                </w:rPr>
                <w:t>32.</w:t>
              </w:r>
              <w:r>
                <w:rPr>
                  <w:rFonts w:ascii="Arial" w:cs="Arial" w:eastAsia="Arial" w:hAnsi="Arial"/>
                  <w:sz w:val="18"/>
                  <w:szCs w:val="18"/>
                  <w:u w:val="single" w:color="auto"/>
                  <w:color w:val="0000EE"/>
                  <w:w w:val="97"/>
                </w:rPr>
                <w:t>1</w:t>
              </w:r>
            </w:hyperlink>
            <w:r>
              <w:rPr>
                <w:rFonts w:ascii="Arial" w:cs="Arial" w:eastAsia="Arial" w:hAnsi="Arial"/>
                <w:sz w:val="18"/>
                <w:szCs w:val="18"/>
                <w:color w:val="000000"/>
                <w:w w:val="97"/>
              </w:rPr>
              <w:t>**</w:t>
            </w:r>
          </w:p>
        </w:tc>
        <w:tc>
          <w:tcPr>
            <w:tcW w:w="1058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1"/>
              </w:rPr>
              <w:t>Certification of Principal Executive Officer Pursuant to 18 U.S.C. Section 1350, as adopted Pursuant to Section 906 of the Sarbanes-Oxley Act of</w:t>
            </w:r>
          </w:p>
        </w:tc>
      </w:tr>
      <w:tr>
        <w:trPr>
          <w:trHeight w:val="237"/>
        </w:trPr>
        <w:tc>
          <w:tcPr>
            <w:tcW w:w="1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05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2002</w:t>
            </w:r>
          </w:p>
        </w:tc>
      </w:tr>
      <w:tr>
        <w:trPr>
          <w:trHeight w:val="176"/>
        </w:trPr>
        <w:tc>
          <w:tcPr>
            <w:tcW w:w="840" w:type="dxa"/>
            <w:vAlign w:val="bottom"/>
            <w:gridSpan w:val="5"/>
          </w:tcPr>
          <w:p>
            <w:pPr>
              <w:jc w:val="center"/>
              <w:ind w:right="40"/>
              <w:spacing w:after="0" w:line="176" w:lineRule="exact"/>
              <w:rPr>
                <w:rFonts w:ascii="Arial" w:cs="Arial" w:eastAsia="Arial" w:hAnsi="Arial"/>
                <w:sz w:val="18"/>
                <w:szCs w:val="18"/>
                <w:color w:val="0000EE"/>
                <w:w w:val="97"/>
              </w:rPr>
            </w:pPr>
            <w:hyperlink w:anchor="page23">
              <w:r>
                <w:rPr>
                  <w:rFonts w:ascii="Arial" w:cs="Arial" w:eastAsia="Arial" w:hAnsi="Arial"/>
                  <w:sz w:val="18"/>
                  <w:szCs w:val="18"/>
                  <w:color w:val="0000EE"/>
                  <w:w w:val="97"/>
                </w:rPr>
                <w:t>32.</w:t>
              </w:r>
              <w:r>
                <w:rPr>
                  <w:rFonts w:ascii="Arial" w:cs="Arial" w:eastAsia="Arial" w:hAnsi="Arial"/>
                  <w:sz w:val="18"/>
                  <w:szCs w:val="18"/>
                  <w:u w:val="single" w:color="auto"/>
                  <w:color w:val="0000EE"/>
                  <w:w w:val="97"/>
                </w:rPr>
                <w:t>2</w:t>
              </w:r>
            </w:hyperlink>
            <w:r>
              <w:rPr>
                <w:rFonts w:ascii="Arial" w:cs="Arial" w:eastAsia="Arial" w:hAnsi="Arial"/>
                <w:sz w:val="18"/>
                <w:szCs w:val="18"/>
                <w:color w:val="000000"/>
                <w:w w:val="97"/>
              </w:rPr>
              <w:t>**</w:t>
            </w:r>
          </w:p>
        </w:tc>
        <w:tc>
          <w:tcPr>
            <w:tcW w:w="10580" w:type="dxa"/>
            <w:vAlign w:val="bottom"/>
          </w:tcPr>
          <w:p>
            <w:pPr>
              <w:ind w:left="80"/>
              <w:spacing w:after="0" w:line="176" w:lineRule="exact"/>
              <w:rPr>
                <w:sz w:val="20"/>
                <w:szCs w:val="20"/>
                <w:color w:val="auto"/>
              </w:rPr>
            </w:pPr>
            <w:r>
              <w:rPr>
                <w:rFonts w:ascii="Arial" w:cs="Arial" w:eastAsia="Arial" w:hAnsi="Arial"/>
                <w:sz w:val="18"/>
                <w:szCs w:val="18"/>
                <w:color w:val="auto"/>
                <w:w w:val="91"/>
              </w:rPr>
              <w:t>Certification of Principal Financial Officer Pursuant to 18 U.S.C. Section 1350, as adopted Pursuant to Section 906 of the Sarbanes-Oxley Act of</w:t>
            </w:r>
          </w:p>
        </w:tc>
      </w:tr>
      <w:tr>
        <w:trPr>
          <w:trHeight w:val="236"/>
        </w:trPr>
        <w:tc>
          <w:tcPr>
            <w:tcW w:w="16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580" w:type="dxa"/>
            <w:vAlign w:val="bottom"/>
          </w:tcPr>
          <w:p>
            <w:pPr>
              <w:ind w:left="80"/>
              <w:spacing w:after="0"/>
              <w:rPr>
                <w:sz w:val="20"/>
                <w:szCs w:val="20"/>
                <w:color w:val="auto"/>
              </w:rPr>
            </w:pPr>
            <w:r>
              <w:rPr>
                <w:rFonts w:ascii="Arial" w:cs="Arial" w:eastAsia="Arial" w:hAnsi="Arial"/>
                <w:sz w:val="18"/>
                <w:szCs w:val="18"/>
                <w:color w:val="auto"/>
              </w:rPr>
              <w:t>2002</w:t>
            </w:r>
          </w:p>
        </w:tc>
      </w:tr>
      <w:tr>
        <w:trPr>
          <w:trHeight w:val="217"/>
        </w:trPr>
        <w:tc>
          <w:tcPr>
            <w:tcW w:w="840" w:type="dxa"/>
            <w:vAlign w:val="bottom"/>
            <w:gridSpan w:val="5"/>
            <w:shd w:val="clear" w:color="auto" w:fill="CCEEFF"/>
          </w:tcPr>
          <w:p>
            <w:pPr>
              <w:jc w:val="center"/>
              <w:ind w:right="40"/>
              <w:spacing w:after="0"/>
              <w:rPr>
                <w:sz w:val="20"/>
                <w:szCs w:val="20"/>
                <w:color w:val="auto"/>
              </w:rPr>
            </w:pPr>
            <w:r>
              <w:rPr>
                <w:rFonts w:ascii="Arial" w:cs="Arial" w:eastAsia="Arial" w:hAnsi="Arial"/>
                <w:sz w:val="18"/>
                <w:szCs w:val="18"/>
                <w:color w:val="auto"/>
                <w:w w:val="94"/>
              </w:rPr>
              <w:t>101.INS*</w:t>
            </w:r>
          </w:p>
        </w:tc>
        <w:tc>
          <w:tcPr>
            <w:tcW w:w="10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XBRL Instance Document</w:t>
            </w:r>
          </w:p>
        </w:tc>
      </w:tr>
      <w:tr>
        <w:trPr>
          <w:trHeight w:val="216"/>
        </w:trPr>
        <w:tc>
          <w:tcPr>
            <w:tcW w:w="840" w:type="dxa"/>
            <w:vAlign w:val="bottom"/>
            <w:gridSpan w:val="5"/>
          </w:tcPr>
          <w:p>
            <w:pPr>
              <w:jc w:val="center"/>
              <w:ind w:right="20"/>
              <w:spacing w:after="0"/>
              <w:rPr>
                <w:sz w:val="20"/>
                <w:szCs w:val="20"/>
                <w:color w:val="auto"/>
              </w:rPr>
            </w:pPr>
            <w:r>
              <w:rPr>
                <w:rFonts w:ascii="Arial" w:cs="Arial" w:eastAsia="Arial" w:hAnsi="Arial"/>
                <w:sz w:val="18"/>
                <w:szCs w:val="18"/>
                <w:color w:val="auto"/>
                <w:w w:val="95"/>
              </w:rPr>
              <w:t>101.CAL*</w:t>
            </w:r>
          </w:p>
        </w:tc>
        <w:tc>
          <w:tcPr>
            <w:tcW w:w="10580" w:type="dxa"/>
            <w:vAlign w:val="bottom"/>
          </w:tcPr>
          <w:p>
            <w:pPr>
              <w:ind w:left="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840" w:type="dxa"/>
            <w:vAlign w:val="bottom"/>
            <w:gridSpan w:val="5"/>
            <w:shd w:val="clear" w:color="auto" w:fill="CCEEFF"/>
          </w:tcPr>
          <w:p>
            <w:pPr>
              <w:jc w:val="center"/>
              <w:ind w:right="20"/>
              <w:spacing w:after="0"/>
              <w:rPr>
                <w:sz w:val="20"/>
                <w:szCs w:val="20"/>
                <w:color w:val="auto"/>
              </w:rPr>
            </w:pPr>
            <w:r>
              <w:rPr>
                <w:rFonts w:ascii="Arial" w:cs="Arial" w:eastAsia="Arial" w:hAnsi="Arial"/>
                <w:sz w:val="18"/>
                <w:szCs w:val="18"/>
                <w:color w:val="auto"/>
                <w:w w:val="92"/>
              </w:rPr>
              <w:t>101.SCH*</w:t>
            </w:r>
          </w:p>
        </w:tc>
        <w:tc>
          <w:tcPr>
            <w:tcW w:w="10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840" w:type="dxa"/>
            <w:vAlign w:val="bottom"/>
            <w:gridSpan w:val="5"/>
          </w:tcPr>
          <w:p>
            <w:pPr>
              <w:jc w:val="center"/>
              <w:ind w:right="40"/>
              <w:spacing w:after="0"/>
              <w:rPr>
                <w:sz w:val="20"/>
                <w:szCs w:val="20"/>
                <w:color w:val="auto"/>
              </w:rPr>
            </w:pPr>
            <w:r>
              <w:rPr>
                <w:rFonts w:ascii="Arial" w:cs="Arial" w:eastAsia="Arial" w:hAnsi="Arial"/>
                <w:sz w:val="18"/>
                <w:szCs w:val="18"/>
                <w:color w:val="auto"/>
                <w:w w:val="92"/>
              </w:rPr>
              <w:t>101.DEF*</w:t>
            </w:r>
          </w:p>
        </w:tc>
        <w:tc>
          <w:tcPr>
            <w:tcW w:w="10580" w:type="dxa"/>
            <w:vAlign w:val="bottom"/>
          </w:tcPr>
          <w:p>
            <w:pPr>
              <w:ind w:left="8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840" w:type="dxa"/>
            <w:vAlign w:val="bottom"/>
            <w:gridSpan w:val="5"/>
            <w:shd w:val="clear" w:color="auto" w:fill="CCEEFF"/>
          </w:tcPr>
          <w:p>
            <w:pPr>
              <w:jc w:val="center"/>
              <w:ind w:right="20"/>
              <w:spacing w:after="0"/>
              <w:rPr>
                <w:sz w:val="20"/>
                <w:szCs w:val="20"/>
                <w:color w:val="auto"/>
              </w:rPr>
            </w:pPr>
            <w:r>
              <w:rPr>
                <w:rFonts w:ascii="Arial" w:cs="Arial" w:eastAsia="Arial" w:hAnsi="Arial"/>
                <w:sz w:val="18"/>
                <w:szCs w:val="18"/>
                <w:color w:val="auto"/>
                <w:w w:val="97"/>
              </w:rPr>
              <w:t>101.LAB*</w:t>
            </w:r>
          </w:p>
        </w:tc>
        <w:tc>
          <w:tcPr>
            <w:tcW w:w="10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XBRL Taxonomy Extension Labels Linkbase Document</w:t>
            </w:r>
          </w:p>
        </w:tc>
      </w:tr>
      <w:tr>
        <w:trPr>
          <w:trHeight w:val="222"/>
        </w:trPr>
        <w:tc>
          <w:tcPr>
            <w:tcW w:w="840" w:type="dxa"/>
            <w:vAlign w:val="bottom"/>
            <w:gridSpan w:val="5"/>
          </w:tcPr>
          <w:p>
            <w:pPr>
              <w:jc w:val="center"/>
              <w:ind w:right="40"/>
              <w:spacing w:after="0"/>
              <w:rPr>
                <w:sz w:val="20"/>
                <w:szCs w:val="20"/>
                <w:color w:val="auto"/>
              </w:rPr>
            </w:pPr>
            <w:r>
              <w:rPr>
                <w:rFonts w:ascii="Arial" w:cs="Arial" w:eastAsia="Arial" w:hAnsi="Arial"/>
                <w:sz w:val="18"/>
                <w:szCs w:val="18"/>
                <w:color w:val="auto"/>
                <w:w w:val="91"/>
              </w:rPr>
              <w:t>101.PRE*</w:t>
            </w:r>
          </w:p>
        </w:tc>
        <w:tc>
          <w:tcPr>
            <w:tcW w:w="10580" w:type="dxa"/>
            <w:vAlign w:val="bottom"/>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1" w:lineRule="exact"/>
        <w:rPr>
          <w:sz w:val="20"/>
          <w:szCs w:val="20"/>
          <w:color w:val="auto"/>
        </w:rPr>
      </w:pPr>
    </w:p>
    <w:p>
      <w:pPr>
        <w:ind w:right="10220" w:firstLine="8"/>
        <w:spacing w:after="0" w:line="332" w:lineRule="auto"/>
        <w:tabs>
          <w:tab w:leader="none" w:pos="132"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Filed herewith. ** Furnished.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BIG ROCK PARTNERS ACQUISITION CORP.</w:t>
      </w:r>
    </w:p>
    <w:p>
      <w:pPr>
        <w:spacing w:after="0" w:line="231" w:lineRule="exact"/>
        <w:rPr>
          <w:sz w:val="20"/>
          <w:szCs w:val="20"/>
          <w:color w:val="auto"/>
        </w:rPr>
      </w:pPr>
    </w:p>
    <w:p>
      <w:pPr>
        <w:spacing w:after="0"/>
        <w:tabs>
          <w:tab w:leader="none" w:pos="5640" w:val="left"/>
          <w:tab w:leader="none" w:pos="6200" w:val="left"/>
        </w:tabs>
        <w:rPr>
          <w:sz w:val="20"/>
          <w:szCs w:val="20"/>
          <w:color w:val="auto"/>
        </w:rPr>
      </w:pPr>
      <w:r>
        <w:rPr>
          <w:rFonts w:ascii="Arial" w:cs="Arial" w:eastAsia="Arial" w:hAnsi="Arial"/>
          <w:sz w:val="18"/>
          <w:szCs w:val="18"/>
          <w:color w:val="auto"/>
        </w:rPr>
        <w:t>Date: May 15,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10795</wp:posOffset>
            </wp:positionV>
            <wp:extent cx="330200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02000" cy="1714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 Richard Ackerman</w:t>
      </w:r>
    </w:p>
    <w:p>
      <w:pPr>
        <w:spacing w:after="0" w:line="15"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Title: Chairman, President and Chief Executive Officer</w:t>
      </w:r>
    </w:p>
    <w:p>
      <w:pPr>
        <w:spacing w:after="0" w:line="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tabs>
          <w:tab w:leader="none" w:pos="5640" w:val="left"/>
          <w:tab w:leader="none" w:pos="6200" w:val="left"/>
        </w:tabs>
        <w:rPr>
          <w:sz w:val="20"/>
          <w:szCs w:val="20"/>
          <w:color w:val="auto"/>
        </w:rPr>
      </w:pPr>
      <w:r>
        <w:rPr>
          <w:rFonts w:ascii="Arial" w:cs="Arial" w:eastAsia="Arial" w:hAnsi="Arial"/>
          <w:sz w:val="18"/>
          <w:szCs w:val="18"/>
          <w:color w:val="auto"/>
        </w:rPr>
        <w:t>Date: May 15,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Lori B. Wittman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10795</wp:posOffset>
            </wp:positionV>
            <wp:extent cx="330200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02000" cy="1714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 Lori B. Wittman</w:t>
      </w:r>
    </w:p>
    <w:p>
      <w:pPr>
        <w:spacing w:after="0" w:line="15"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Title: Chief Financial Officer and Director</w:t>
      </w:r>
    </w:p>
    <w:p>
      <w:pPr>
        <w:spacing w:after="0" w:line="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Richard Ackerman, certify that:</w:t>
      </w:r>
    </w:p>
    <w:p>
      <w:pPr>
        <w:spacing w:after="0" w:line="225" w:lineRule="exact"/>
        <w:rPr>
          <w:sz w:val="20"/>
          <w:szCs w:val="20"/>
          <w:color w:val="auto"/>
        </w:rPr>
      </w:pPr>
    </w:p>
    <w:p>
      <w:pPr>
        <w:ind w:left="620" w:hanging="612"/>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Big Rock Partners Acquisition Corp.;</w:t>
      </w:r>
    </w:p>
    <w:p>
      <w:pPr>
        <w:spacing w:after="0" w:line="225" w:lineRule="exact"/>
        <w:rPr>
          <w:rFonts w:ascii="Arial" w:cs="Arial" w:eastAsia="Arial" w:hAnsi="Arial"/>
          <w:sz w:val="18"/>
          <w:szCs w:val="18"/>
          <w:color w:val="auto"/>
        </w:rPr>
      </w:pPr>
    </w:p>
    <w:p>
      <w:pPr>
        <w:ind w:firstLine="8"/>
        <w:spacing w:after="0" w:line="332" w:lineRule="auto"/>
        <w:tabs>
          <w:tab w:leader="none" w:pos="787"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firstLine="8"/>
        <w:spacing w:after="0" w:line="268"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right="20" w:firstLine="8"/>
        <w:spacing w:after="0" w:line="268" w:lineRule="auto"/>
        <w:tabs>
          <w:tab w:leader="none" w:pos="6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5" w:lineRule="exact"/>
        <w:rPr>
          <w:rFonts w:ascii="Arial" w:cs="Arial" w:eastAsia="Arial" w:hAnsi="Arial"/>
          <w:sz w:val="18"/>
          <w:szCs w:val="18"/>
          <w:color w:val="auto"/>
        </w:rPr>
      </w:pPr>
    </w:p>
    <w:p>
      <w:pPr>
        <w:jc w:val="both"/>
        <w:ind w:firstLine="656"/>
        <w:spacing w:after="0" w:line="259" w:lineRule="auto"/>
        <w:tabs>
          <w:tab w:leader="none" w:pos="137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sz w:val="20"/>
          <w:szCs w:val="20"/>
          <w:color w:val="auto"/>
        </w:rPr>
      </w:pPr>
    </w:p>
    <w:p>
      <w:pPr>
        <w:ind w:firstLine="656"/>
        <w:spacing w:after="0" w:line="332" w:lineRule="auto"/>
        <w:tabs>
          <w:tab w:leader="none" w:pos="1597"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firstLine="656"/>
        <w:spacing w:after="0" w:line="259" w:lineRule="auto"/>
        <w:tabs>
          <w:tab w:leader="none" w:pos="14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firstLine="8"/>
        <w:spacing w:after="0" w:line="268" w:lineRule="auto"/>
        <w:tabs>
          <w:tab w:leader="none" w:pos="7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5" w:lineRule="exact"/>
        <w:rPr>
          <w:rFonts w:ascii="Arial" w:cs="Arial" w:eastAsia="Arial" w:hAnsi="Arial"/>
          <w:sz w:val="18"/>
          <w:szCs w:val="18"/>
          <w:color w:val="auto"/>
        </w:rPr>
      </w:pPr>
    </w:p>
    <w:p>
      <w:pPr>
        <w:ind w:right="20" w:firstLine="656"/>
        <w:spacing w:after="0" w:line="268" w:lineRule="auto"/>
        <w:tabs>
          <w:tab w:leader="none" w:pos="132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firstLine="656"/>
        <w:spacing w:after="0" w:line="268" w:lineRule="auto"/>
        <w:tabs>
          <w:tab w:leader="none" w:pos="1513"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15, 2018</w:t>
      </w:r>
      <w:r>
        <w:rPr>
          <w:sz w:val="20"/>
          <w:szCs w:val="20"/>
          <w:color w:val="auto"/>
        </w:rPr>
        <w:tab/>
      </w:r>
      <w:r>
        <w:rPr>
          <w:rFonts w:ascii="Arial" w:cs="Arial" w:eastAsia="Arial" w:hAnsi="Arial"/>
          <w:sz w:val="16"/>
          <w:szCs w:val="16"/>
          <w:color w:val="auto"/>
        </w:rPr>
        <w:t>/s/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Richard Ackerman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President and 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513080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Lori Wittman, certify that:</w:t>
      </w:r>
    </w:p>
    <w:p>
      <w:pPr>
        <w:spacing w:after="0" w:line="225" w:lineRule="exact"/>
        <w:rPr>
          <w:sz w:val="20"/>
          <w:szCs w:val="20"/>
          <w:color w:val="auto"/>
        </w:rPr>
      </w:pPr>
    </w:p>
    <w:p>
      <w:pPr>
        <w:ind w:left="620" w:hanging="612"/>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Big Rock Partners Acquisition Corp.;</w:t>
      </w:r>
    </w:p>
    <w:p>
      <w:pPr>
        <w:spacing w:after="0" w:line="225" w:lineRule="exact"/>
        <w:rPr>
          <w:rFonts w:ascii="Arial" w:cs="Arial" w:eastAsia="Arial" w:hAnsi="Arial"/>
          <w:sz w:val="18"/>
          <w:szCs w:val="18"/>
          <w:color w:val="auto"/>
        </w:rPr>
      </w:pPr>
    </w:p>
    <w:p>
      <w:pPr>
        <w:ind w:firstLine="8"/>
        <w:spacing w:after="0" w:line="332" w:lineRule="auto"/>
        <w:tabs>
          <w:tab w:leader="none" w:pos="787"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firstLine="8"/>
        <w:spacing w:after="0" w:line="268"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right="20" w:firstLine="8"/>
        <w:spacing w:after="0" w:line="268" w:lineRule="auto"/>
        <w:tabs>
          <w:tab w:leader="none" w:pos="6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5" w:lineRule="exact"/>
        <w:rPr>
          <w:rFonts w:ascii="Arial" w:cs="Arial" w:eastAsia="Arial" w:hAnsi="Arial"/>
          <w:sz w:val="18"/>
          <w:szCs w:val="18"/>
          <w:color w:val="auto"/>
        </w:rPr>
      </w:pPr>
    </w:p>
    <w:p>
      <w:pPr>
        <w:jc w:val="both"/>
        <w:ind w:firstLine="656"/>
        <w:spacing w:after="0" w:line="259" w:lineRule="auto"/>
        <w:tabs>
          <w:tab w:leader="none" w:pos="137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sz w:val="20"/>
          <w:szCs w:val="20"/>
          <w:color w:val="auto"/>
        </w:rPr>
      </w:pPr>
    </w:p>
    <w:p>
      <w:pPr>
        <w:ind w:firstLine="656"/>
        <w:spacing w:after="0" w:line="332" w:lineRule="auto"/>
        <w:tabs>
          <w:tab w:leader="none" w:pos="1597"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firstLine="656"/>
        <w:spacing w:after="0" w:line="259" w:lineRule="auto"/>
        <w:tabs>
          <w:tab w:leader="none" w:pos="14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firstLine="8"/>
        <w:spacing w:after="0" w:line="268" w:lineRule="auto"/>
        <w:tabs>
          <w:tab w:leader="none" w:pos="7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5" w:lineRule="exact"/>
        <w:rPr>
          <w:rFonts w:ascii="Arial" w:cs="Arial" w:eastAsia="Arial" w:hAnsi="Arial"/>
          <w:sz w:val="18"/>
          <w:szCs w:val="18"/>
          <w:color w:val="auto"/>
        </w:rPr>
      </w:pPr>
    </w:p>
    <w:p>
      <w:pPr>
        <w:ind w:right="20" w:firstLine="656"/>
        <w:spacing w:after="0" w:line="268" w:lineRule="auto"/>
        <w:tabs>
          <w:tab w:leader="none" w:pos="1326"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firstLine="656"/>
        <w:spacing w:after="0" w:line="268" w:lineRule="auto"/>
        <w:tabs>
          <w:tab w:leader="none" w:pos="1513"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15, 2018</w:t>
      </w:r>
      <w:r>
        <w:rPr>
          <w:sz w:val="20"/>
          <w:szCs w:val="20"/>
          <w:color w:val="auto"/>
        </w:rPr>
        <w:tab/>
      </w:r>
      <w:r>
        <w:rPr>
          <w:rFonts w:ascii="Arial" w:cs="Arial" w:eastAsia="Arial" w:hAnsi="Arial"/>
          <w:sz w:val="16"/>
          <w:szCs w:val="16"/>
          <w:color w:val="auto"/>
        </w:rPr>
        <w:t>/s/ Lori Wittman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Lori Wittman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accompanying Quarterly Report on Form 10-Q of Big Rock Partners Acquisition Corp. (the “Company”) for the quarterly period ended March 31, 2018, as filed with the Securities and Exchange Commission (the “Report”), the undersigned hereby certifies pursuant to 18 U.S.C. Section 1350, as adopted pursuant to Section 906 of the Sarbanes-Oxley Act of 2002, to my knowledge and belief, that:</w:t>
      </w:r>
    </w:p>
    <w:p>
      <w:pPr>
        <w:spacing w:after="0" w:line="194" w:lineRule="exact"/>
        <w:rPr>
          <w:sz w:val="20"/>
          <w:szCs w:val="20"/>
          <w:color w:val="auto"/>
        </w:rPr>
      </w:pPr>
    </w:p>
    <w:p>
      <w:pPr>
        <w:ind w:left="980" w:hanging="648"/>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48" w:lineRule="exact"/>
        <w:rPr>
          <w:rFonts w:ascii="Arial" w:cs="Arial" w:eastAsia="Arial" w:hAnsi="Arial"/>
          <w:sz w:val="16"/>
          <w:szCs w:val="16"/>
          <w:color w:val="auto"/>
        </w:rPr>
      </w:pPr>
    </w:p>
    <w:p>
      <w:pPr>
        <w:ind w:left="980" w:hanging="648"/>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5640" w:val="left"/>
          <w:tab w:leader="none" w:pos="6200" w:val="left"/>
        </w:tabs>
        <w:rPr>
          <w:sz w:val="20"/>
          <w:szCs w:val="20"/>
          <w:color w:val="auto"/>
        </w:rPr>
      </w:pPr>
      <w:r>
        <w:rPr>
          <w:rFonts w:ascii="Arial" w:cs="Arial" w:eastAsia="Arial" w:hAnsi="Arial"/>
          <w:sz w:val="18"/>
          <w:szCs w:val="18"/>
          <w:color w:val="auto"/>
        </w:rPr>
        <w:t>Dated: May 15,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10795</wp:posOffset>
            </wp:positionV>
            <wp:extent cx="330200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02000" cy="1714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Richard Ackerman</w:t>
      </w:r>
    </w:p>
    <w:p>
      <w:pPr>
        <w:spacing w:after="0" w:line="15"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accompanying Quarterly Report on Form 10-Q of Big Rock Partners Acquisition Corp. (the “Company”) for the quarterly period ended March 31, 2018, as filed with the Securities and Exchange Commission (the “Report”), the undersigned hereby certifies pursuant to 18 U.S.C. Section 1350, as adopted pursuant to Section 906 of the Sarbanes-Oxley Act of 2002, to my knowledge and belief, that:</w:t>
      </w:r>
    </w:p>
    <w:p>
      <w:pPr>
        <w:spacing w:after="0" w:line="194" w:lineRule="exact"/>
        <w:rPr>
          <w:sz w:val="20"/>
          <w:szCs w:val="20"/>
          <w:color w:val="auto"/>
        </w:rPr>
      </w:pPr>
    </w:p>
    <w:p>
      <w:pPr>
        <w:ind w:left="980" w:hanging="648"/>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48" w:lineRule="exact"/>
        <w:rPr>
          <w:rFonts w:ascii="Arial" w:cs="Arial" w:eastAsia="Arial" w:hAnsi="Arial"/>
          <w:sz w:val="16"/>
          <w:szCs w:val="16"/>
          <w:color w:val="auto"/>
        </w:rPr>
      </w:pPr>
    </w:p>
    <w:p>
      <w:pPr>
        <w:ind w:left="980" w:hanging="648"/>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5640" w:val="left"/>
          <w:tab w:leader="none" w:pos="6200" w:val="left"/>
        </w:tabs>
        <w:rPr>
          <w:sz w:val="20"/>
          <w:szCs w:val="20"/>
          <w:color w:val="auto"/>
        </w:rPr>
      </w:pPr>
      <w:r>
        <w:rPr>
          <w:rFonts w:ascii="Arial" w:cs="Arial" w:eastAsia="Arial" w:hAnsi="Arial"/>
          <w:sz w:val="18"/>
          <w:szCs w:val="18"/>
          <w:color w:val="auto"/>
        </w:rPr>
        <w:t>Dated: May 15,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Lori B. Wittman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10795</wp:posOffset>
            </wp:positionV>
            <wp:extent cx="330200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02000" cy="1714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Lori B. Wittman</w:t>
      </w:r>
    </w:p>
    <w:p>
      <w:pPr>
        <w:spacing w:after="0" w:line="15"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2"/>
    </w:lvl>
  </w:abstractNum>
  <w:abstractNum w:abstractNumId="7">
    <w:nsid w:val="DED7263"/>
    <w:multiLevelType w:val="hybridMultilevel"/>
    <w:lvl w:ilvl="0">
      <w:lvlJc w:val="left"/>
      <w:lvlText w:val="%1."/>
      <w:numFmt w:val="decimal"/>
      <w:start w:val="2"/>
    </w:lvl>
  </w:abstractNum>
  <w:abstractNum w:abstractNumId="8">
    <w:nsid w:val="7FDCC233"/>
    <w:multiLevelType w:val="hybridMultilevel"/>
    <w:lvl w:ilvl="0">
      <w:lvlJc w:val="left"/>
      <w:lvlText w:val="%1."/>
      <w:numFmt w:val="decimal"/>
      <w:start w:val="5"/>
    </w:lvl>
  </w:abstractNum>
  <w:abstractNum w:abstractNumId="9">
    <w:nsid w:val="1BEFD79F"/>
    <w:multiLevelType w:val="hybridMultilevel"/>
    <w:lvl w:ilvl="0">
      <w:lvlJc w:val="left"/>
      <w:lvlText w:val="%1."/>
      <w:numFmt w:val="decimal"/>
      <w:start w:val="6"/>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lvl w:ilvl="1">
      <w:lvlJc w:val="left"/>
      <w:lvlText w:val="(%2)"/>
      <w:numFmt w:val="lowerLetter"/>
      <w:start w:val="1"/>
    </w:lvl>
  </w:abstractNum>
  <w:abstractNum w:abstractNumId="13">
    <w:nsid w:val="25E45D32"/>
    <w:multiLevelType w:val="hybridMultilevel"/>
    <w:lvl w:ilvl="0">
      <w:lvlJc w:val="left"/>
      <w:lvlText w:val="%1"/>
      <w:numFmt w:val="decimal"/>
      <w:start w:val="1"/>
    </w:lvl>
    <w:lvl w:ilvl="1">
      <w:lvlJc w:val="left"/>
      <w:lvlText w:val="(%2)"/>
      <w:numFmt w:val="lowerLetter"/>
      <w:start w:val="3"/>
    </w:lvl>
  </w:abstractNum>
  <w:abstractNum w:abstractNumId="14">
    <w:nsid w:val="519B500D"/>
    <w:multiLevelType w:val="hybridMultilevel"/>
    <w:lvl w:ilvl="0">
      <w:lvlJc w:val="left"/>
      <w:lvlText w:val="%1."/>
      <w:numFmt w:val="decimal"/>
      <w:start w:val="5"/>
    </w:lvl>
    <w:lvl w:ilvl="1">
      <w:lvlJc w:val="left"/>
      <w:lvlText w:val="(%2)"/>
      <w:numFmt w:val="lowerLetter"/>
      <w:start w:val="1"/>
    </w:lvl>
  </w:abstractNum>
  <w:abstractNum w:abstractNumId="15">
    <w:nsid w:val="431BD7B7"/>
    <w:multiLevelType w:val="hybridMultilevel"/>
    <w:lvl w:ilvl="0">
      <w:lvlJc w:val="left"/>
      <w:lvlText w:val="%1."/>
      <w:numFmt w:val="decimal"/>
      <w:start w:val="1"/>
    </w:lvl>
    <w:lvl w:ilvl="1">
      <w:lvlJc w:val="left"/>
      <w:lvlText w:val="(%2)"/>
      <w:numFmt w:val="lowerLetter"/>
      <w:start w:val="1"/>
    </w:lvl>
  </w:abstractNum>
  <w:abstractNum w:abstractNumId="16">
    <w:nsid w:val="3F2DBA31"/>
    <w:multiLevelType w:val="hybridMultilevel"/>
    <w:lvl w:ilvl="0">
      <w:lvlJc w:val="left"/>
      <w:lvlText w:val="%1"/>
      <w:numFmt w:val="decimal"/>
      <w:start w:val="1"/>
    </w:lvl>
    <w:lvl w:ilvl="1">
      <w:lvlJc w:val="left"/>
      <w:lvlText w:val="(%2)"/>
      <w:numFmt w:val="lowerLetter"/>
      <w:start w:val="3"/>
    </w:lvl>
  </w:abstractNum>
  <w:abstractNum w:abstractNumId="17">
    <w:nsid w:val="7C83E458"/>
    <w:multiLevelType w:val="hybridMultilevel"/>
    <w:lvl w:ilvl="0">
      <w:lvlJc w:val="left"/>
      <w:lvlText w:val="%1."/>
      <w:numFmt w:val="decimal"/>
      <w:start w:val="5"/>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2020-01-15T11:45:29Z</dcterms:created>
  <dcterms:modified xsi:type="dcterms:W3CDTF">2020-01-15T11:45:29Z</dcterms:modified>
</cp:coreProperties>
</file>