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4040" w:right="2080" w:hanging="4032"/>
        <w:spacing w:after="0" w:line="504" w:lineRule="auto"/>
        <w:tabs>
          <w:tab w:leader="none" w:pos="23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June 30, 2020</w:t>
      </w:r>
    </w:p>
    <w:p>
      <w:pPr>
        <w:ind w:left="556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19"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31" w:lineRule="exact"/>
        <w:rPr>
          <w:sz w:val="24"/>
          <w:szCs w:val="24"/>
          <w:color w:val="auto"/>
        </w:rPr>
      </w:pPr>
    </w:p>
    <w:p>
      <w:pPr>
        <w:ind w:left="3540"/>
        <w:spacing w:after="0"/>
        <w:rPr>
          <w:sz w:val="20"/>
          <w:szCs w:val="20"/>
          <w:color w:val="auto"/>
        </w:rPr>
      </w:pPr>
      <w:r>
        <w:rPr>
          <w:rFonts w:ascii="Arial" w:cs="Arial" w:eastAsia="Arial" w:hAnsi="Arial"/>
          <w:sz w:val="18"/>
          <w:szCs w:val="18"/>
          <w:color w:val="auto"/>
        </w:rPr>
        <w:t>For the transition period from __________ to __________</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001-38302</w:t>
      </w:r>
    </w:p>
    <w:p>
      <w:pPr>
        <w:spacing w:after="0" w:line="225"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(Exact name of registrant as specified in its charter)</w:t>
      </w:r>
    </w:p>
    <w:p>
      <w:pPr>
        <w:spacing w:after="0" w:line="213" w:lineRule="exact"/>
        <w:rPr>
          <w:sz w:val="24"/>
          <w:szCs w:val="24"/>
          <w:color w:val="auto"/>
        </w:rPr>
      </w:pPr>
    </w:p>
    <w:tbl>
      <w:tblPr>
        <w:tblLayout w:type="fixed"/>
        <w:tblInd w:w="1980" w:type="dxa"/>
        <w:tblCellMar>
          <w:top w:w="0" w:type="dxa"/>
          <w:left w:w="0" w:type="dxa"/>
          <w:bottom w:w="0" w:type="dxa"/>
          <w:right w:w="0" w:type="dxa"/>
        </w:tblCellMar>
      </w:tblPr>
      <w:tr>
        <w:trPr>
          <w:trHeight w:val="237"/>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3740" w:type="dxa"/>
            <w:vAlign w:val="bottom"/>
            <w:gridSpan w:val="2"/>
          </w:tcPr>
          <w:p>
            <w:pPr>
              <w:jc w:val="right"/>
              <w:ind w:right="1272"/>
              <w:spacing w:after="0"/>
              <w:rPr>
                <w:sz w:val="20"/>
                <w:szCs w:val="20"/>
                <w:color w:val="auto"/>
              </w:rPr>
            </w:pPr>
            <w:r>
              <w:rPr>
                <w:rFonts w:ascii="Arial" w:cs="Arial" w:eastAsia="Arial" w:hAnsi="Arial"/>
                <w:sz w:val="18"/>
                <w:szCs w:val="18"/>
                <w:b w:val="1"/>
                <w:bCs w:val="1"/>
                <w:color w:val="auto"/>
              </w:rPr>
              <w:t>82-2844431</w:t>
            </w:r>
          </w:p>
        </w:tc>
      </w:tr>
      <w:tr>
        <w:trPr>
          <w:trHeight w:val="208"/>
        </w:trPr>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(State or other jurisdiction of incorporation or</w:t>
            </w:r>
          </w:p>
        </w:tc>
        <w:tc>
          <w:tcPr>
            <w:tcW w:w="180" w:type="dxa"/>
            <w:vAlign w:val="bottom"/>
          </w:tcPr>
          <w:p>
            <w:pPr>
              <w:spacing w:after="0"/>
              <w:rPr>
                <w:sz w:val="18"/>
                <w:szCs w:val="18"/>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(I.R.S. Employer Identification Number)</w:t>
            </w:r>
          </w:p>
        </w:tc>
      </w:tr>
      <w:tr>
        <w:trPr>
          <w:trHeight w:val="222"/>
        </w:trPr>
        <w:tc>
          <w:tcPr>
            <w:tcW w:w="3540" w:type="dxa"/>
            <w:vAlign w:val="bottom"/>
          </w:tcPr>
          <w:p>
            <w:pPr>
              <w:jc w:val="center"/>
              <w:spacing w:after="0"/>
              <w:rPr>
                <w:sz w:val="20"/>
                <w:szCs w:val="20"/>
                <w:color w:val="auto"/>
              </w:rPr>
            </w:pPr>
            <w:r>
              <w:rPr>
                <w:rFonts w:ascii="Arial" w:cs="Arial" w:eastAsia="Arial" w:hAnsi="Arial"/>
                <w:sz w:val="18"/>
                <w:szCs w:val="18"/>
                <w:color w:val="auto"/>
                <w:w w:val="90"/>
              </w:rPr>
              <w:t>organization)</w:t>
            </w:r>
          </w:p>
        </w:tc>
        <w:tc>
          <w:tcPr>
            <w:tcW w:w="18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420"/>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8"/>
              </w:rPr>
              <w:t>2645 N. Federal Highway, Suite 230</w:t>
            </w:r>
          </w:p>
        </w:tc>
        <w:tc>
          <w:tcPr>
            <w:tcW w:w="1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37"/>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Delray Beach, FL</w:t>
            </w:r>
          </w:p>
        </w:tc>
        <w:tc>
          <w:tcPr>
            <w:tcW w:w="3740" w:type="dxa"/>
            <w:vAlign w:val="bottom"/>
            <w:gridSpan w:val="2"/>
          </w:tcPr>
          <w:p>
            <w:pPr>
              <w:jc w:val="right"/>
              <w:ind w:right="1472"/>
              <w:spacing w:after="0"/>
              <w:rPr>
                <w:sz w:val="20"/>
                <w:szCs w:val="20"/>
                <w:color w:val="auto"/>
              </w:rPr>
            </w:pPr>
            <w:r>
              <w:rPr>
                <w:rFonts w:ascii="Arial" w:cs="Arial" w:eastAsia="Arial" w:hAnsi="Arial"/>
                <w:sz w:val="18"/>
                <w:szCs w:val="18"/>
                <w:b w:val="1"/>
                <w:bCs w:val="1"/>
                <w:color w:val="auto"/>
              </w:rPr>
              <w:t>33483</w:t>
            </w:r>
          </w:p>
        </w:tc>
      </w:tr>
      <w:tr>
        <w:trPr>
          <w:trHeight w:val="222"/>
        </w:trPr>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180" w:type="dxa"/>
            <w:vAlign w:val="bottom"/>
          </w:tcPr>
          <w:p>
            <w:pPr>
              <w:spacing w:after="0"/>
              <w:rPr>
                <w:sz w:val="19"/>
                <w:szCs w:val="19"/>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(Zip Code)</w:t>
            </w:r>
          </w:p>
        </w:tc>
      </w:tr>
    </w:tbl>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(310) 734-2300</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420" w:type="dxa"/>
            <w:vAlign w:val="bottom"/>
            <w:gridSpan w:val="3"/>
          </w:tcPr>
          <w:p>
            <w:pPr>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420"/>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5"/>
              </w:rPr>
              <w:t>Name of each exchange on</w:t>
            </w:r>
          </w:p>
        </w:tc>
      </w:tr>
      <w:tr>
        <w:trPr>
          <w:trHeight w:val="237"/>
        </w:trPr>
        <w:tc>
          <w:tcPr>
            <w:tcW w:w="442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83"/>
              </w:rPr>
              <w:t>Title of each class</w:t>
            </w:r>
          </w:p>
        </w:tc>
        <w:tc>
          <w:tcPr>
            <w:tcW w:w="3020" w:type="dxa"/>
            <w:vAlign w:val="bottom"/>
          </w:tcPr>
          <w:p>
            <w:pPr>
              <w:jc w:val="center"/>
              <w:ind w:right="732"/>
              <w:spacing w:after="0"/>
              <w:rPr>
                <w:sz w:val="20"/>
                <w:szCs w:val="20"/>
                <w:color w:val="auto"/>
              </w:rPr>
            </w:pPr>
            <w:r>
              <w:rPr>
                <w:rFonts w:ascii="Arial" w:cs="Arial" w:eastAsia="Arial" w:hAnsi="Arial"/>
                <w:sz w:val="18"/>
                <w:szCs w:val="18"/>
                <w:b w:val="1"/>
                <w:bCs w:val="1"/>
                <w:color w:val="auto"/>
                <w:w w:val="88"/>
              </w:rPr>
              <w:t>Trading Symbol(s)</w:t>
            </w:r>
          </w:p>
        </w:tc>
        <w:tc>
          <w:tcPr>
            <w:tcW w:w="10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5"/>
              </w:rPr>
              <w:t>which registered</w:t>
            </w:r>
          </w:p>
        </w:tc>
      </w:tr>
      <w:tr>
        <w:trPr>
          <w:trHeight w:val="208"/>
        </w:trPr>
        <w:tc>
          <w:tcPr>
            <w:tcW w:w="3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Units, each consisting of one share of Common</w:t>
            </w: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020" w:type="dxa"/>
            <w:vAlign w:val="bottom"/>
            <w:tcBorders>
              <w:top w:val="single" w:sz="8" w:color="auto"/>
            </w:tcBorders>
          </w:tcPr>
          <w:p>
            <w:pPr>
              <w:jc w:val="center"/>
              <w:ind w:right="732"/>
              <w:spacing w:after="0"/>
              <w:rPr>
                <w:sz w:val="20"/>
                <w:szCs w:val="20"/>
                <w:color w:val="auto"/>
              </w:rPr>
            </w:pPr>
            <w:r>
              <w:rPr>
                <w:rFonts w:ascii="Arial" w:cs="Arial" w:eastAsia="Arial" w:hAnsi="Arial"/>
                <w:sz w:val="18"/>
                <w:szCs w:val="18"/>
                <w:color w:val="auto"/>
                <w:w w:val="90"/>
              </w:rPr>
              <w:t>BRPAU</w:t>
            </w:r>
          </w:p>
        </w:tc>
        <w:tc>
          <w:tcPr>
            <w:tcW w:w="100" w:type="dxa"/>
            <w:vAlign w:val="bottom"/>
          </w:tcPr>
          <w:p>
            <w:pPr>
              <w:spacing w:after="0"/>
              <w:rPr>
                <w:sz w:val="18"/>
                <w:szCs w:val="18"/>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The NASDAQ Stock Market LLC</w:t>
            </w:r>
          </w:p>
        </w:tc>
      </w:tr>
      <w:tr>
        <w:trPr>
          <w:trHeight w:val="216"/>
        </w:trPr>
        <w:tc>
          <w:tcPr>
            <w:tcW w:w="4420" w:type="dxa"/>
            <w:vAlign w:val="bottom"/>
            <w:gridSpan w:val="3"/>
          </w:tcPr>
          <w:p>
            <w:pPr>
              <w:jc w:val="center"/>
              <w:ind w:right="920"/>
              <w:spacing w:after="0"/>
              <w:rPr>
                <w:sz w:val="20"/>
                <w:szCs w:val="20"/>
                <w:color w:val="auto"/>
              </w:rPr>
            </w:pPr>
            <w:r>
              <w:rPr>
                <w:rFonts w:ascii="Arial" w:cs="Arial" w:eastAsia="Arial" w:hAnsi="Arial"/>
                <w:sz w:val="18"/>
                <w:szCs w:val="18"/>
                <w:color w:val="auto"/>
                <w:w w:val="88"/>
              </w:rPr>
              <w:t>Stock, one Right and one-half of one Warrant</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4420" w:type="dxa"/>
            <w:vAlign w:val="bottom"/>
            <w:gridSpan w:val="3"/>
          </w:tcPr>
          <w:p>
            <w:pPr>
              <w:jc w:val="center"/>
              <w:ind w:right="920"/>
              <w:spacing w:after="0"/>
              <w:rPr>
                <w:sz w:val="20"/>
                <w:szCs w:val="20"/>
                <w:color w:val="auto"/>
              </w:rPr>
            </w:pPr>
            <w:r>
              <w:rPr>
                <w:rFonts w:ascii="Arial" w:cs="Arial" w:eastAsia="Arial" w:hAnsi="Arial"/>
                <w:sz w:val="18"/>
                <w:szCs w:val="18"/>
                <w:color w:val="auto"/>
                <w:w w:val="87"/>
              </w:rPr>
              <w:t>Common Stock, par value $0.001 per share</w:t>
            </w:r>
          </w:p>
        </w:tc>
        <w:tc>
          <w:tcPr>
            <w:tcW w:w="3020" w:type="dxa"/>
            <w:vAlign w:val="bottom"/>
          </w:tcPr>
          <w:p>
            <w:pPr>
              <w:jc w:val="center"/>
              <w:ind w:right="732"/>
              <w:spacing w:after="0"/>
              <w:rPr>
                <w:sz w:val="20"/>
                <w:szCs w:val="20"/>
                <w:color w:val="auto"/>
              </w:rPr>
            </w:pPr>
            <w:r>
              <w:rPr>
                <w:rFonts w:ascii="Arial" w:cs="Arial" w:eastAsia="Arial" w:hAnsi="Arial"/>
                <w:sz w:val="18"/>
                <w:szCs w:val="18"/>
                <w:color w:val="auto"/>
                <w:w w:val="89"/>
              </w:rPr>
              <w:t>BRPA</w:t>
            </w: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8"/>
                <w:szCs w:val="18"/>
                <w:color w:val="auto"/>
                <w:w w:val="93"/>
              </w:rPr>
              <w:t>The NASDAQ Stock Market LLC</w:t>
            </w:r>
          </w:p>
        </w:tc>
      </w:tr>
      <w:tr>
        <w:trPr>
          <w:trHeight w:val="216"/>
        </w:trPr>
        <w:tc>
          <w:tcPr>
            <w:tcW w:w="4420" w:type="dxa"/>
            <w:vAlign w:val="bottom"/>
            <w:gridSpan w:val="3"/>
          </w:tcPr>
          <w:p>
            <w:pPr>
              <w:jc w:val="center"/>
              <w:ind w:right="920"/>
              <w:spacing w:after="0"/>
              <w:rPr>
                <w:sz w:val="20"/>
                <w:szCs w:val="20"/>
                <w:color w:val="auto"/>
              </w:rPr>
            </w:pPr>
            <w:r>
              <w:rPr>
                <w:rFonts w:ascii="Arial" w:cs="Arial" w:eastAsia="Arial" w:hAnsi="Arial"/>
                <w:sz w:val="18"/>
                <w:szCs w:val="18"/>
                <w:color w:val="auto"/>
                <w:w w:val="86"/>
              </w:rPr>
              <w:t>Rights, exchangeable into one-tenth of one share</w:t>
            </w:r>
          </w:p>
        </w:tc>
        <w:tc>
          <w:tcPr>
            <w:tcW w:w="3020" w:type="dxa"/>
            <w:vAlign w:val="bottom"/>
          </w:tcPr>
          <w:p>
            <w:pPr>
              <w:jc w:val="center"/>
              <w:ind w:right="732"/>
              <w:spacing w:after="0"/>
              <w:rPr>
                <w:sz w:val="20"/>
                <w:szCs w:val="20"/>
                <w:color w:val="auto"/>
              </w:rPr>
            </w:pPr>
            <w:r>
              <w:rPr>
                <w:rFonts w:ascii="Arial" w:cs="Arial" w:eastAsia="Arial" w:hAnsi="Arial"/>
                <w:sz w:val="18"/>
                <w:szCs w:val="18"/>
                <w:color w:val="auto"/>
                <w:w w:val="90"/>
              </w:rPr>
              <w:t>BRPAR</w:t>
            </w: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8"/>
                <w:szCs w:val="18"/>
                <w:color w:val="auto"/>
                <w:w w:val="93"/>
              </w:rPr>
              <w:t>The NASDAQ Stock Market LLC</w:t>
            </w:r>
          </w:p>
        </w:tc>
      </w:tr>
      <w:tr>
        <w:trPr>
          <w:trHeight w:val="216"/>
        </w:trPr>
        <w:tc>
          <w:tcPr>
            <w:tcW w:w="4420" w:type="dxa"/>
            <w:vAlign w:val="bottom"/>
            <w:gridSpan w:val="3"/>
          </w:tcPr>
          <w:p>
            <w:pPr>
              <w:jc w:val="center"/>
              <w:ind w:right="920"/>
              <w:spacing w:after="0"/>
              <w:rPr>
                <w:sz w:val="20"/>
                <w:szCs w:val="20"/>
                <w:color w:val="auto"/>
              </w:rPr>
            </w:pPr>
            <w:r>
              <w:rPr>
                <w:rFonts w:ascii="Arial" w:cs="Arial" w:eastAsia="Arial" w:hAnsi="Arial"/>
                <w:sz w:val="18"/>
                <w:szCs w:val="18"/>
                <w:color w:val="auto"/>
                <w:w w:val="90"/>
              </w:rPr>
              <w:t>of Common Stock</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4420" w:type="dxa"/>
            <w:vAlign w:val="bottom"/>
            <w:gridSpan w:val="3"/>
          </w:tcPr>
          <w:p>
            <w:pPr>
              <w:jc w:val="center"/>
              <w:ind w:right="920"/>
              <w:spacing w:after="0"/>
              <w:rPr>
                <w:sz w:val="20"/>
                <w:szCs w:val="20"/>
                <w:color w:val="auto"/>
              </w:rPr>
            </w:pPr>
            <w:r>
              <w:rPr>
                <w:rFonts w:ascii="Arial" w:cs="Arial" w:eastAsia="Arial" w:hAnsi="Arial"/>
                <w:sz w:val="18"/>
                <w:szCs w:val="18"/>
                <w:color w:val="auto"/>
                <w:w w:val="87"/>
              </w:rPr>
              <w:t>Warrants, each whole warrant exercisable for one</w:t>
            </w:r>
          </w:p>
        </w:tc>
        <w:tc>
          <w:tcPr>
            <w:tcW w:w="3020" w:type="dxa"/>
            <w:vAlign w:val="bottom"/>
          </w:tcPr>
          <w:p>
            <w:pPr>
              <w:jc w:val="center"/>
              <w:ind w:right="732"/>
              <w:spacing w:after="0"/>
              <w:rPr>
                <w:sz w:val="20"/>
                <w:szCs w:val="20"/>
                <w:color w:val="auto"/>
              </w:rPr>
            </w:pPr>
            <w:r>
              <w:rPr>
                <w:rFonts w:ascii="Arial" w:cs="Arial" w:eastAsia="Arial" w:hAnsi="Arial"/>
                <w:sz w:val="18"/>
                <w:szCs w:val="18"/>
                <w:color w:val="auto"/>
                <w:w w:val="90"/>
              </w:rPr>
              <w:t>BRPAW</w:t>
            </w: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8"/>
                <w:szCs w:val="18"/>
                <w:color w:val="auto"/>
                <w:w w:val="93"/>
              </w:rPr>
              <w:t>The NASDAQ Stock Market LLC</w:t>
            </w:r>
          </w:p>
        </w:tc>
      </w:tr>
      <w:tr>
        <w:trPr>
          <w:trHeight w:val="216"/>
        </w:trPr>
        <w:tc>
          <w:tcPr>
            <w:tcW w:w="4420" w:type="dxa"/>
            <w:vAlign w:val="bottom"/>
            <w:gridSpan w:val="3"/>
          </w:tcPr>
          <w:p>
            <w:pPr>
              <w:jc w:val="center"/>
              <w:ind w:right="920"/>
              <w:spacing w:after="0"/>
              <w:rPr>
                <w:sz w:val="20"/>
                <w:szCs w:val="20"/>
                <w:color w:val="auto"/>
              </w:rPr>
            </w:pPr>
            <w:r>
              <w:rPr>
                <w:rFonts w:ascii="Arial" w:cs="Arial" w:eastAsia="Arial" w:hAnsi="Arial"/>
                <w:sz w:val="18"/>
                <w:szCs w:val="18"/>
                <w:color w:val="auto"/>
                <w:w w:val="88"/>
              </w:rPr>
              <w:t>share of Common Stock at an exercise price of</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22"/>
        </w:trPr>
        <w:tc>
          <w:tcPr>
            <w:tcW w:w="3500" w:type="dxa"/>
            <w:vAlign w:val="bottom"/>
          </w:tcPr>
          <w:p>
            <w:pPr>
              <w:jc w:val="center"/>
              <w:spacing w:after="0"/>
              <w:rPr>
                <w:sz w:val="20"/>
                <w:szCs w:val="20"/>
                <w:color w:val="auto"/>
              </w:rPr>
            </w:pPr>
            <w:r>
              <w:rPr>
                <w:rFonts w:ascii="Arial" w:cs="Arial" w:eastAsia="Arial" w:hAnsi="Arial"/>
                <w:sz w:val="18"/>
                <w:szCs w:val="18"/>
                <w:color w:val="auto"/>
                <w:w w:val="83"/>
              </w:rPr>
              <w:t>$11.50</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tcPr>
          <w:p>
            <w:pPr>
              <w:spacing w:after="0"/>
              <w:rPr>
                <w:sz w:val="19"/>
                <w:szCs w:val="19"/>
                <w:color w:val="auto"/>
              </w:rPr>
            </w:pPr>
          </w:p>
        </w:tc>
      </w:tr>
    </w:tbl>
    <w:p>
      <w:pPr>
        <w:spacing w:after="0" w:line="210"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1" w:lineRule="exact"/>
        <w:rPr>
          <w:sz w:val="24"/>
          <w:szCs w:val="24"/>
          <w:color w:val="auto"/>
        </w:rPr>
      </w:pPr>
    </w:p>
    <w:p>
      <w:pPr>
        <w:jc w:val="both"/>
        <w:spacing w:after="0" w:line="285" w:lineRule="auto"/>
        <w:rPr>
          <w:sz w:val="20"/>
          <w:szCs w:val="20"/>
          <w:color w:val="auto"/>
        </w:rPr>
      </w:pPr>
      <w:r>
        <w:rPr>
          <w:rFonts w:ascii="Arial" w:cs="Arial" w:eastAsia="Arial" w:hAnsi="Arial"/>
          <w:sz w:val="16"/>
          <w:szCs w:val="16"/>
          <w:color w:val="auto"/>
        </w:rPr>
        <w:t>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1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06" w:right="339" w:bottom="370" w:gutter="0" w:footer="0" w:header="0"/>
        </w:sectPr>
      </w:pPr>
    </w:p>
    <w:p>
      <w:pPr>
        <w:spacing w:after="0" w:line="16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35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2" w:lineRule="exact"/>
        <w:rPr>
          <w:sz w:val="24"/>
          <w:szCs w:val="24"/>
          <w:color w:val="auto"/>
        </w:rPr>
      </w:pPr>
    </w:p>
    <w:p>
      <w:pPr>
        <w:sectPr>
          <w:pgSz w:w="11900" w:h="16838" w:orient="portrait"/>
          <w:cols w:equalWidth="0" w:num="3">
            <w:col w:w="4800" w:space="720"/>
            <w:col w:w="1920" w:space="80"/>
            <w:col w:w="3720"/>
          </w:cols>
          <w:pgMar w:left="320" w:top="706" w:right="339" w:bottom="370" w:gutter="0" w:footer="0" w:header="0"/>
          <w:type w:val="continuous"/>
        </w:sectPr>
      </w:pPr>
    </w:p>
    <w:p>
      <w:pPr>
        <w:spacing w:after="0" w:line="42" w:lineRule="exact"/>
        <w:rPr>
          <w:sz w:val="24"/>
          <w:szCs w:val="24"/>
          <w:color w:val="auto"/>
        </w:rPr>
      </w:pPr>
    </w:p>
    <w:p>
      <w:pPr>
        <w:ind w:right="24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August 12, 2020, there were 2,688,242 shares of the Company’s common stock, par value $0.001,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37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19"/>
                <w:szCs w:val="19"/>
                <w:color w:val="auto"/>
              </w:rPr>
            </w:pPr>
          </w:p>
        </w:tc>
        <w:tc>
          <w:tcPr>
            <w:tcW w:w="9520" w:type="dxa"/>
            <w:vAlign w:val="bottom"/>
          </w:tcPr>
          <w:p>
            <w:pPr>
              <w:ind w:left="386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2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PART I.</w:t>
            </w:r>
          </w:p>
        </w:tc>
        <w:tc>
          <w:tcPr>
            <w:tcW w:w="9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FINANCIAL INFORMATION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FINANCIAL STATEMENTS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Condensed Balance Sheets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Condensed Statements of Operations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Condensed Statements of Changes in Stockholders’ Equity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Condensed Statements of Cash Flows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to Condensed Financial Statements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QUANTITATIVE AND QUALITATIVE DISCLOSURES ABOUT MARKET RISK</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4.</w:t>
              </w:r>
            </w:hyperlink>
          </w:p>
        </w:tc>
        <w:tc>
          <w:tcPr>
            <w:tcW w:w="9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CONTROLS AND PROCEDURES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PART II.</w:t>
            </w:r>
          </w:p>
        </w:tc>
        <w:tc>
          <w:tcPr>
            <w:tcW w:w="9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INFORMATION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LEGAL PROCEEDINGS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RISK FACTORS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UNREGISTERED SALES OF EQUITY SECURITIES AND USE OF PROCEEDS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DEFAULTS UPON SENIOR SECURITIES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MINE SAFETY DISCLOSURES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9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INFORMATION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EXHIBITS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SIGNATURES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82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ind w:left="4780"/>
              <w:spacing w:after="0"/>
              <w:rPr>
                <w:sz w:val="20"/>
                <w:szCs w:val="20"/>
                <w:color w:val="auto"/>
              </w:rPr>
            </w:pPr>
            <w:r>
              <w:rPr>
                <w:rFonts w:ascii="Arial" w:cs="Arial" w:eastAsia="Arial" w:hAnsi="Arial"/>
                <w:sz w:val="18"/>
                <w:szCs w:val="18"/>
                <w:color w:val="auto"/>
              </w:rPr>
              <w:t>i</w:t>
            </w: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14"/>
              <w:spacing w:after="0"/>
              <w:rPr>
                <w:sz w:val="20"/>
                <w:szCs w:val="20"/>
                <w:color w:val="auto"/>
              </w:rPr>
            </w:pPr>
            <w:r>
              <w:rPr>
                <w:rFonts w:ascii="Arial" w:cs="Arial" w:eastAsia="Arial" w:hAnsi="Arial"/>
                <w:sz w:val="15"/>
                <w:szCs w:val="15"/>
                <w:b w:val="1"/>
                <w:bCs w:val="1"/>
                <w:color w:val="auto"/>
                <w:w w:val="89"/>
              </w:rPr>
              <w:t>June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December 31,</w:t>
            </w:r>
          </w:p>
        </w:tc>
      </w:tr>
      <w:tr>
        <w:trPr>
          <w:trHeight w:val="182"/>
        </w:trPr>
        <w:tc>
          <w:tcPr>
            <w:tcW w:w="8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4"/>
              <w:spacing w:after="0"/>
              <w:rPr>
                <w:sz w:val="20"/>
                <w:szCs w:val="20"/>
                <w:color w:val="auto"/>
              </w:rPr>
            </w:pPr>
            <w:r>
              <w:rPr>
                <w:rFonts w:ascii="Arial" w:cs="Arial" w:eastAsia="Arial" w:hAnsi="Arial"/>
                <w:sz w:val="15"/>
                <w:szCs w:val="15"/>
                <w:b w:val="1"/>
                <w:bCs w:val="1"/>
                <w:color w:val="auto"/>
                <w:w w:val="89"/>
              </w:rPr>
              <w:t>2020</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4"/>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5"/>
                <w:szCs w:val="15"/>
                <w:color w:val="auto"/>
              </w:rPr>
            </w:pPr>
          </w:p>
        </w:tc>
      </w:tr>
      <w:tr>
        <w:trPr>
          <w:trHeight w:val="241"/>
        </w:trPr>
        <w:tc>
          <w:tcPr>
            <w:tcW w:w="8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ind w:right="14"/>
              <w:spacing w:after="0"/>
              <w:rPr>
                <w:sz w:val="20"/>
                <w:szCs w:val="20"/>
                <w:color w:val="auto"/>
              </w:rPr>
            </w:pPr>
            <w:r>
              <w:rPr>
                <w:rFonts w:ascii="Arial" w:cs="Arial" w:eastAsia="Arial" w:hAnsi="Arial"/>
                <w:sz w:val="18"/>
                <w:szCs w:val="18"/>
                <w:color w:val="auto"/>
                <w:w w:val="90"/>
              </w:rPr>
              <w:t>(unaudited)</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86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4"/>
        </w:trPr>
        <w:tc>
          <w:tcPr>
            <w:tcW w:w="86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r>
      <w:tr>
        <w:trPr>
          <w:trHeight w:val="216"/>
        </w:trPr>
        <w:tc>
          <w:tcPr>
            <w:tcW w:w="860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33,200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6"/>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income taxes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69,483</w:t>
            </w:r>
          </w:p>
        </w:tc>
      </w:tr>
      <w:tr>
        <w:trPr>
          <w:trHeight w:val="20"/>
        </w:trPr>
        <w:tc>
          <w:tcPr>
            <w:tcW w:w="8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860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36,803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69,489</w:t>
            </w:r>
          </w:p>
        </w:tc>
      </w:tr>
      <w:tr>
        <w:trPr>
          <w:trHeight w:val="216"/>
        </w:trPr>
        <w:tc>
          <w:tcPr>
            <w:tcW w:w="8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6,240,245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32,005,205</w:t>
            </w:r>
          </w:p>
        </w:tc>
      </w:tr>
      <w:tr>
        <w:trPr>
          <w:trHeight w:val="21"/>
        </w:trPr>
        <w:tc>
          <w:tcPr>
            <w:tcW w:w="8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6,277,048</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32,074,694</w:t>
            </w:r>
          </w:p>
        </w:tc>
      </w:tr>
      <w:tr>
        <w:trPr>
          <w:trHeight w:val="209"/>
        </w:trPr>
        <w:tc>
          <w:tcPr>
            <w:tcW w:w="8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297,238</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622,441</w:t>
            </w:r>
          </w:p>
        </w:tc>
      </w:tr>
      <w:tr>
        <w:trPr>
          <w:trHeight w:val="21"/>
        </w:trPr>
        <w:tc>
          <w:tcPr>
            <w:tcW w:w="8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622,441</w:t>
            </w:r>
          </w:p>
        </w:tc>
      </w:tr>
      <w:tr>
        <w:trPr>
          <w:trHeight w:val="216"/>
        </w:trPr>
        <w:tc>
          <w:tcPr>
            <w:tcW w:w="8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 – related party</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685,476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416,141</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Promissory notes payable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1,668,091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1,535,623</w:t>
            </w:r>
          </w:p>
        </w:tc>
      </w:tr>
      <w:tr>
        <w:trPr>
          <w:trHeight w:val="20"/>
        </w:trPr>
        <w:tc>
          <w:tcPr>
            <w:tcW w:w="8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2,650,805</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2,574,205</w:t>
            </w:r>
          </w:p>
        </w:tc>
      </w:tr>
      <w:tr>
        <w:trPr>
          <w:trHeight w:val="210"/>
        </w:trPr>
        <w:tc>
          <w:tcPr>
            <w:tcW w:w="8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8"/>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w w:val="91"/>
              </w:rPr>
              <w:t>Common stock subject to possible redemption, -0- and 2,305,335 shares at redemption value as of June 30, 2020 and</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65"/>
        </w:trPr>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31, 2019, respectively</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24,500,488</w:t>
            </w:r>
          </w:p>
        </w:tc>
      </w:tr>
      <w:tr>
        <w:trPr>
          <w:trHeight w:val="210"/>
        </w:trPr>
        <w:tc>
          <w:tcPr>
            <w:tcW w:w="8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00" w:type="dxa"/>
            <w:vAlign w:val="bottom"/>
          </w:tcPr>
          <w:p>
            <w:pPr>
              <w:ind w:left="180"/>
              <w:spacing w:after="0"/>
              <w:rPr>
                <w:sz w:val="20"/>
                <w:szCs w:val="20"/>
                <w:color w:val="auto"/>
              </w:rPr>
            </w:pPr>
            <w:r>
              <w:rPr>
                <w:rFonts w:ascii="Arial" w:cs="Arial" w:eastAsia="Arial" w:hAnsi="Arial"/>
                <w:sz w:val="18"/>
                <w:szCs w:val="18"/>
                <w:color w:val="auto"/>
              </w:rPr>
              <w:t>Preferred stock, $0.001 par value; 1,000,000 authorized; none issued and outstanding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8"/>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Common stock, $0.001 par value; 100,000,000 shares authorized; 2,716,028 and 2,844,414 shares issued and</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6"/>
              </w:rPr>
              <w:t>outstanding (excluding -0- and 2,305,335 shares subject to possible redemption) as of June 30, 2020 and</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86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December 31, 2019, respectively</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2,844</w:t>
            </w:r>
          </w:p>
        </w:tc>
      </w:tr>
      <w:tr>
        <w:trPr>
          <w:trHeight w:val="216"/>
        </w:trPr>
        <w:tc>
          <w:tcPr>
            <w:tcW w:w="86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3,130,313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4,627,662</w:t>
            </w:r>
          </w:p>
        </w:tc>
      </w:tr>
      <w:tr>
        <w:trPr>
          <w:trHeight w:val="237"/>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493,214</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369,495</w:t>
            </w:r>
          </w:p>
        </w:tc>
      </w:tr>
      <w:tr>
        <w:trPr>
          <w:trHeight w:val="20"/>
        </w:trPr>
        <w:tc>
          <w:tcPr>
            <w:tcW w:w="8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8600" w:type="dxa"/>
            <w:vAlign w:val="bottom"/>
          </w:tcPr>
          <w:p>
            <w:pPr>
              <w:ind w:left="180"/>
              <w:spacing w:after="0"/>
              <w:rPr>
                <w:sz w:val="20"/>
                <w:szCs w:val="20"/>
                <w:color w:val="auto"/>
              </w:rPr>
            </w:pPr>
            <w:r>
              <w:rPr>
                <w:rFonts w:ascii="Arial" w:cs="Arial" w:eastAsia="Arial" w:hAnsi="Arial"/>
                <w:sz w:val="18"/>
                <w:szCs w:val="18"/>
                <w:b w:val="1"/>
                <w:bCs w:val="1"/>
                <w:color w:val="auto"/>
              </w:rPr>
              <w:t>Total Stockholders’ Equity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3,626,243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5,000,001</w:t>
            </w:r>
          </w:p>
        </w:tc>
      </w:tr>
      <w:tr>
        <w:trPr>
          <w:trHeight w:val="21"/>
        </w:trPr>
        <w:tc>
          <w:tcPr>
            <w:tcW w:w="8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6,277,048</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32,074,694</w:t>
            </w:r>
          </w:p>
        </w:tc>
      </w:tr>
      <w:tr>
        <w:trPr>
          <w:trHeight w:val="20"/>
        </w:trPr>
        <w:tc>
          <w:tcPr>
            <w:tcW w:w="8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6"/>
          </w:tcPr>
          <w:p>
            <w:pPr>
              <w:jc w:val="right"/>
              <w:ind w:right="700"/>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6"/>
          </w:tcPr>
          <w:p>
            <w:pPr>
              <w:jc w:val="right"/>
              <w:ind w:right="760"/>
              <w:spacing w:after="0"/>
              <w:rPr>
                <w:sz w:val="20"/>
                <w:szCs w:val="20"/>
                <w:color w:val="auto"/>
              </w:rPr>
            </w:pPr>
            <w:r>
              <w:rPr>
                <w:rFonts w:ascii="Arial" w:cs="Arial" w:eastAsia="Arial" w:hAnsi="Arial"/>
                <w:sz w:val="15"/>
                <w:szCs w:val="15"/>
                <w:b w:val="1"/>
                <w:bCs w:val="1"/>
                <w:color w:val="auto"/>
              </w:rPr>
              <w:t>Six Months Ended</w:t>
            </w:r>
          </w:p>
        </w:tc>
      </w:tr>
      <w:tr>
        <w:trPr>
          <w:trHeight w:val="182"/>
        </w:trPr>
        <w:tc>
          <w:tcPr>
            <w:tcW w:w="5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5"/>
                <w:szCs w:val="15"/>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5"/>
                <w:szCs w:val="15"/>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23"/>
        </w:trPr>
        <w:tc>
          <w:tcPr>
            <w:tcW w:w="5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5"/>
                <w:szCs w:val="15"/>
                <w:b w:val="1"/>
                <w:bCs w:val="1"/>
                <w:color w:val="auto"/>
              </w:rPr>
              <w:t>2020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5"/>
                <w:szCs w:val="15"/>
                <w:b w:val="1"/>
                <w:bCs w:val="1"/>
                <w:color w:val="auto"/>
              </w:rPr>
              <w:t>2020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9"/>
                <w:szCs w:val="19"/>
                <w:color w:val="auto"/>
              </w:rPr>
            </w:pPr>
          </w:p>
        </w:tc>
      </w:tr>
      <w:tr>
        <w:trPr>
          <w:trHeight w:val="243"/>
        </w:trPr>
        <w:tc>
          <w:tcPr>
            <w:tcW w:w="5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181,259</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175,742</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300,559</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338,923</w:t>
            </w:r>
          </w:p>
        </w:tc>
      </w:tr>
      <w:tr>
        <w:trPr>
          <w:trHeight w:val="27"/>
        </w:trPr>
        <w:tc>
          <w:tcPr>
            <w:tcW w:w="5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5100" w:type="dxa"/>
            <w:vAlign w:val="bottom"/>
          </w:tcPr>
          <w:p>
            <w:pPr>
              <w:ind w:left="180"/>
              <w:spacing w:after="0"/>
              <w:rPr>
                <w:sz w:val="20"/>
                <w:szCs w:val="20"/>
                <w:color w:val="auto"/>
              </w:rPr>
            </w:pPr>
            <w:r>
              <w:rPr>
                <w:rFonts w:ascii="Arial" w:cs="Arial" w:eastAsia="Arial" w:hAnsi="Arial"/>
                <w:sz w:val="18"/>
                <w:szCs w:val="18"/>
                <w:b w:val="1"/>
                <w:bCs w:val="1"/>
                <w:color w:val="auto"/>
              </w:rPr>
              <w:t>Loss from operations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(181,259)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(175,742)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(300,559)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(338,923)</w:t>
            </w:r>
          </w:p>
        </w:tc>
      </w:tr>
      <w:tr>
        <w:trPr>
          <w:trHeight w:val="216"/>
        </w:trPr>
        <w:tc>
          <w:tcPr>
            <w:tcW w:w="5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Other income:</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Forgiveness of debt</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392,439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138,094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775,301</w:t>
            </w:r>
          </w:p>
        </w:tc>
      </w:tr>
      <w:tr>
        <w:trPr>
          <w:trHeight w:val="27"/>
        </w:trPr>
        <w:tc>
          <w:tcPr>
            <w:tcW w:w="5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392,439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490,165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775,301</w:t>
            </w:r>
          </w:p>
        </w:tc>
      </w:tr>
      <w:tr>
        <w:trPr>
          <w:trHeight w:val="216"/>
        </w:trPr>
        <w:tc>
          <w:tcPr>
            <w:tcW w:w="5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(156,242)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436,378</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(40,676)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(65,887)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(72,392)</w:t>
            </w:r>
          </w:p>
        </w:tc>
      </w:tr>
      <w:tr>
        <w:trPr>
          <w:trHeight w:val="27"/>
        </w:trPr>
        <w:tc>
          <w:tcPr>
            <w:tcW w:w="5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8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(149,501)</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176,021</w:t>
            </w:r>
          </w:p>
        </w:tc>
        <w:tc>
          <w:tcPr>
            <w:tcW w:w="16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123,719</w:t>
            </w:r>
          </w:p>
        </w:tc>
        <w:tc>
          <w:tcPr>
            <w:tcW w:w="18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363,986</w:t>
            </w:r>
          </w:p>
        </w:tc>
      </w:tr>
      <w:tr>
        <w:trPr>
          <w:trHeight w:val="209"/>
        </w:trPr>
        <w:tc>
          <w:tcPr>
            <w:tcW w:w="5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57"/>
        </w:trPr>
        <w:tc>
          <w:tcPr>
            <w:tcW w:w="51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Weighted average shares outstanding, basic and diluted </w:t>
            </w:r>
            <w:r>
              <w:rPr>
                <w:rFonts w:ascii="Arial" w:cs="Arial" w:eastAsia="Arial" w:hAnsi="Arial"/>
                <w:sz w:val="24"/>
                <w:szCs w:val="24"/>
                <w:color w:val="auto"/>
                <w:vertAlign w:val="superscript"/>
              </w:rPr>
              <w:t>(1)</w:t>
            </w:r>
          </w:p>
        </w:tc>
        <w:tc>
          <w:tcPr>
            <w:tcW w:w="8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2,716,028</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2,794,297</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2,780,221</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2,759,859</w:t>
            </w:r>
          </w:p>
        </w:tc>
      </w:tr>
      <w:tr>
        <w:trPr>
          <w:trHeight w:val="209"/>
        </w:trPr>
        <w:tc>
          <w:tcPr>
            <w:tcW w:w="5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37"/>
        </w:trPr>
        <w:tc>
          <w:tcPr>
            <w:tcW w:w="510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Basic and diluted net (loss) income per common share </w:t>
            </w:r>
            <w:r>
              <w:rPr>
                <w:rFonts w:ascii="Arial" w:cs="Arial" w:eastAsia="Arial" w:hAnsi="Arial"/>
                <w:sz w:val="24"/>
                <w:szCs w:val="24"/>
                <w:b w:val="1"/>
                <w:bCs w:val="1"/>
                <w:color w:val="auto"/>
                <w:vertAlign w:val="superscript"/>
              </w:rPr>
              <w:t>(2)</w:t>
            </w: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(0.06)</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(0.03)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0.04</w:t>
            </w:r>
          </w:p>
        </w:tc>
        <w:tc>
          <w:tcPr>
            <w:tcW w:w="1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(0.06)</w:t>
            </w:r>
          </w:p>
        </w:tc>
      </w:tr>
      <w:tr>
        <w:trPr>
          <w:trHeight w:val="20"/>
        </w:trPr>
        <w:tc>
          <w:tcPr>
            <w:tcW w:w="5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Excludes an aggregate of up to -0- and 4,114,378 shares subject to possible redemption at June 30, 2020 and 2019, respectively.</w:t>
      </w:r>
    </w:p>
    <w:p>
      <w:pPr>
        <w:spacing w:after="0" w:line="15" w:lineRule="exact"/>
        <w:rPr>
          <w:rFonts w:ascii="Arial" w:cs="Arial" w:eastAsia="Arial" w:hAnsi="Arial"/>
          <w:sz w:val="18"/>
          <w:szCs w:val="18"/>
          <w:color w:val="auto"/>
        </w:rPr>
      </w:pPr>
    </w:p>
    <w:p>
      <w:pPr>
        <w:jc w:val="both"/>
        <w:ind w:left="240" w:right="20" w:hanging="232"/>
        <w:spacing w:after="0" w:line="361" w:lineRule="auto"/>
        <w:tabs>
          <w:tab w:leader="none" w:pos="240" w:val="left"/>
        </w:tabs>
        <w:numPr>
          <w:ilvl w:val="0"/>
          <w:numId w:val="4"/>
        </w:numPr>
        <w:rPr>
          <w:rFonts w:ascii="Arial" w:cs="Arial" w:eastAsia="Arial" w:hAnsi="Arial"/>
          <w:sz w:val="15"/>
          <w:szCs w:val="15"/>
          <w:color w:val="auto"/>
        </w:rPr>
      </w:pPr>
      <w:r>
        <w:rPr>
          <w:rFonts w:ascii="Arial" w:cs="Arial" w:eastAsia="Arial" w:hAnsi="Arial"/>
          <w:sz w:val="15"/>
          <w:szCs w:val="15"/>
          <w:color w:val="auto"/>
        </w:rPr>
        <w:t>Net loss per common share - basic and diluted excludes income attributable to common stock subject to possible redemption of $-0- and $259,727 for the three months ended June 30, 2020 and 2019, respectively, and $-0- and 518,924 for the six months ended June 30, 2020 and 2019, respectively (see Note 2).</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 w:name="page5"/>
    <w:bookmarkEnd w:id="4"/>
    <w:p>
      <w:pPr>
        <w:jc w:val="center"/>
        <w:ind w:left="340" w:right="2580"/>
        <w:spacing w:after="0" w:line="262" w:lineRule="auto"/>
        <w:rPr>
          <w:sz w:val="20"/>
          <w:szCs w:val="20"/>
          <w:color w:val="auto"/>
        </w:rPr>
      </w:pPr>
      <w:r>
        <w:rPr>
          <w:rFonts w:ascii="Arial" w:cs="Arial" w:eastAsia="Arial" w:hAnsi="Arial"/>
          <w:sz w:val="18"/>
          <w:szCs w:val="18"/>
          <w:b w:val="1"/>
          <w:bCs w:val="1"/>
          <w:color w:val="auto"/>
        </w:rPr>
        <w:t>BIG ROCK PARTNERS ACQUISITION CORP. CONDENSED STATEMENTS OF CHANGES IN STOCKHOLDERS’ EQUITY (UNAUDITED)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SIX MONTHS ENDED JUNE 30, 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2"/>
              </w:rPr>
              <w:t>Additional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9"/>
              </w:rPr>
              <w:t>Total</w:t>
            </w:r>
          </w:p>
        </w:tc>
      </w:tr>
      <w:tr>
        <w:trPr>
          <w:trHeight w:val="182"/>
        </w:trPr>
        <w:tc>
          <w:tcPr>
            <w:tcW w:w="5740" w:type="dxa"/>
            <w:vAlign w:val="bottom"/>
          </w:tcPr>
          <w:p>
            <w:pPr>
              <w:spacing w:after="0"/>
              <w:rPr>
                <w:sz w:val="15"/>
                <w:szCs w:val="15"/>
                <w:color w:val="auto"/>
              </w:rPr>
            </w:pPr>
          </w:p>
        </w:tc>
        <w:tc>
          <w:tcPr>
            <w:tcW w:w="204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5"/>
                <w:szCs w:val="15"/>
                <w:b w:val="1"/>
                <w:bCs w:val="1"/>
                <w:color w:val="auto"/>
              </w:rPr>
              <w:t>Common Stock</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1"/>
              </w:rPr>
              <w:t>Paid-in</w:t>
            </w:r>
          </w:p>
        </w:tc>
        <w:tc>
          <w:tcPr>
            <w:tcW w:w="14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5"/>
                <w:szCs w:val="15"/>
                <w:b w:val="1"/>
                <w:bCs w:val="1"/>
                <w:color w:val="auto"/>
              </w:rPr>
              <w:t>Retained</w:t>
            </w:r>
          </w:p>
        </w:tc>
        <w:tc>
          <w:tcPr>
            <w:tcW w:w="1020" w:type="dxa"/>
            <w:vAlign w:val="bottom"/>
            <w:gridSpan w:val="3"/>
          </w:tcPr>
          <w:p>
            <w:pPr>
              <w:ind w:left="20"/>
              <w:spacing w:after="0"/>
              <w:rPr>
                <w:sz w:val="20"/>
                <w:szCs w:val="20"/>
                <w:color w:val="auto"/>
              </w:rPr>
            </w:pPr>
            <w:r>
              <w:rPr>
                <w:rFonts w:ascii="Arial" w:cs="Arial" w:eastAsia="Arial" w:hAnsi="Arial"/>
                <w:sz w:val="15"/>
                <w:szCs w:val="15"/>
                <w:b w:val="1"/>
                <w:bCs w:val="1"/>
                <w:color w:val="auto"/>
                <w:w w:val="98"/>
              </w:rPr>
              <w:t>Stockholders’</w:t>
            </w:r>
          </w:p>
        </w:tc>
      </w:tr>
      <w:tr>
        <w:trPr>
          <w:trHeight w:val="250"/>
        </w:trPr>
        <w:tc>
          <w:tcPr>
            <w:tcW w:w="5740" w:type="dxa"/>
            <w:vAlign w:val="bottom"/>
          </w:tcPr>
          <w:p>
            <w:pPr>
              <w:spacing w:after="0"/>
              <w:rPr>
                <w:sz w:val="21"/>
                <w:szCs w:val="21"/>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Shares</w:t>
            </w:r>
          </w:p>
        </w:tc>
        <w:tc>
          <w:tcPr>
            <w:tcW w:w="140" w:type="dxa"/>
            <w:vAlign w:val="bottom"/>
          </w:tcPr>
          <w:p>
            <w:pPr>
              <w:spacing w:after="0"/>
              <w:rPr>
                <w:sz w:val="21"/>
                <w:szCs w:val="21"/>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8"/>
              </w:rPr>
              <w:t>Amount</w:t>
            </w:r>
          </w:p>
        </w:tc>
        <w:tc>
          <w:tcPr>
            <w:tcW w:w="100" w:type="dxa"/>
            <w:vAlign w:val="bottom"/>
          </w:tcPr>
          <w:p>
            <w:pPr>
              <w:spacing w:after="0"/>
              <w:rPr>
                <w:sz w:val="21"/>
                <w:szCs w:val="21"/>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5"/>
              </w:rPr>
              <w:t>Capital</w:t>
            </w:r>
          </w:p>
        </w:tc>
        <w:tc>
          <w:tcPr>
            <w:tcW w:w="14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15"/>
                <w:szCs w:val="15"/>
                <w:b w:val="1"/>
                <w:bCs w:val="1"/>
                <w:color w:val="auto"/>
              </w:rPr>
              <w:t>Earnings</w:t>
            </w:r>
          </w:p>
        </w:tc>
        <w:tc>
          <w:tcPr>
            <w:tcW w:w="120" w:type="dxa"/>
            <w:vAlign w:val="bottom"/>
          </w:tcPr>
          <w:p>
            <w:pPr>
              <w:spacing w:after="0"/>
              <w:rPr>
                <w:sz w:val="21"/>
                <w:szCs w:val="21"/>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5"/>
              </w:rPr>
              <w:t>Equity</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January 1,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2,844,414</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2,844</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4,627,662</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369,495</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5,000,001</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(128,386)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(1,497,349)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(1,497,477)</w:t>
            </w:r>
          </w:p>
        </w:tc>
      </w:t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273,220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273,220</w:t>
            </w:r>
          </w:p>
        </w:tc>
        <w:tc>
          <w:tcPr>
            <w:tcW w:w="100" w:type="dxa"/>
            <w:vAlign w:val="bottom"/>
            <w:shd w:val="clear" w:color="auto" w:fill="CCEEFF"/>
          </w:tcPr>
          <w:p>
            <w:pPr>
              <w:spacing w:after="0"/>
              <w:rPr>
                <w:sz w:val="19"/>
                <w:szCs w:val="19"/>
                <w:color w:val="auto"/>
              </w:rPr>
            </w:pPr>
          </w:p>
        </w:tc>
      </w:tr>
      <w:tr>
        <w:trPr>
          <w:trHeight w:val="216"/>
        </w:trPr>
        <w:tc>
          <w:tcPr>
            <w:tcW w:w="574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2020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2,716,028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3,130,313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642,715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3,775,744</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(149,501)</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(149,501)</w:t>
            </w:r>
          </w:p>
        </w:tc>
      </w:tr>
      <w:tr>
        <w:trPr>
          <w:trHeight w:val="216"/>
        </w:trPr>
        <w:tc>
          <w:tcPr>
            <w:tcW w:w="574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June 30, 2020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2,716,028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2,716</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3,130,313</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493,214</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3,626,243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3"/>
        </w:trPr>
        <w:tc>
          <w:tcPr>
            <w:tcW w:w="7980" w:type="dxa"/>
            <w:vAlign w:val="bottom"/>
            <w:gridSpan w:val="6"/>
          </w:tcPr>
          <w:p>
            <w:pPr>
              <w:ind w:left="3620"/>
              <w:spacing w:after="0"/>
              <w:rPr>
                <w:sz w:val="20"/>
                <w:szCs w:val="20"/>
                <w:color w:val="auto"/>
              </w:rPr>
            </w:pPr>
            <w:r>
              <w:rPr>
                <w:rFonts w:ascii="Arial" w:cs="Arial" w:eastAsia="Arial" w:hAnsi="Arial"/>
                <w:sz w:val="18"/>
                <w:szCs w:val="18"/>
                <w:b w:val="1"/>
                <w:bCs w:val="1"/>
                <w:color w:val="auto"/>
              </w:rPr>
              <w:t>THREE AND SIX MONTHS ENDED JUNE 30, 2019</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7"/>
        </w:trPr>
        <w:tc>
          <w:tcPr>
            <w:tcW w:w="5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3"/>
          </w:tcPr>
          <w:p>
            <w:pPr>
              <w:ind w:left="20"/>
              <w:spacing w:after="0"/>
              <w:rPr>
                <w:sz w:val="20"/>
                <w:szCs w:val="20"/>
                <w:color w:val="auto"/>
              </w:rPr>
            </w:pPr>
            <w:r>
              <w:rPr>
                <w:rFonts w:ascii="Arial" w:cs="Arial" w:eastAsia="Arial" w:hAnsi="Arial"/>
                <w:sz w:val="15"/>
                <w:szCs w:val="15"/>
                <w:b w:val="1"/>
                <w:bCs w:val="1"/>
                <w:color w:val="auto"/>
              </w:rPr>
              <w:t>(Accumulated</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5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92"/>
              </w:rPr>
              <w:t>Additional</w:t>
            </w:r>
          </w:p>
        </w:tc>
        <w:tc>
          <w:tcPr>
            <w:tcW w:w="140" w:type="dxa"/>
            <w:vAlign w:val="bottom"/>
          </w:tcPr>
          <w:p>
            <w:pPr>
              <w:spacing w:after="0"/>
              <w:rPr>
                <w:sz w:val="14"/>
                <w:szCs w:val="14"/>
                <w:color w:val="auto"/>
              </w:rPr>
            </w:pPr>
          </w:p>
        </w:tc>
        <w:tc>
          <w:tcPr>
            <w:tcW w:w="980" w:type="dxa"/>
            <w:vAlign w:val="bottom"/>
            <w:gridSpan w:val="2"/>
          </w:tcPr>
          <w:p>
            <w:pPr>
              <w:ind w:left="40"/>
              <w:spacing w:after="0" w:line="162" w:lineRule="exact"/>
              <w:rPr>
                <w:sz w:val="20"/>
                <w:szCs w:val="20"/>
                <w:color w:val="auto"/>
              </w:rPr>
            </w:pPr>
            <w:r>
              <w:rPr>
                <w:rFonts w:ascii="Arial" w:cs="Arial" w:eastAsia="Arial" w:hAnsi="Arial"/>
                <w:sz w:val="15"/>
                <w:szCs w:val="15"/>
                <w:b w:val="1"/>
                <w:bCs w:val="1"/>
                <w:color w:val="auto"/>
              </w:rPr>
              <w:t>Deficit) /</w:t>
            </w:r>
          </w:p>
        </w:tc>
        <w:tc>
          <w:tcPr>
            <w:tcW w:w="120" w:type="dxa"/>
            <w:vAlign w:val="bottom"/>
          </w:tcPr>
          <w:p>
            <w:pPr>
              <w:spacing w:after="0"/>
              <w:rPr>
                <w:sz w:val="14"/>
                <w:szCs w:val="14"/>
                <w:color w:val="auto"/>
              </w:rPr>
            </w:pPr>
          </w:p>
        </w:tc>
        <w:tc>
          <w:tcPr>
            <w:tcW w:w="90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89"/>
              </w:rPr>
              <w:t>Total</w:t>
            </w:r>
          </w:p>
        </w:tc>
      </w:tr>
      <w:tr>
        <w:trPr>
          <w:trHeight w:val="182"/>
        </w:trPr>
        <w:tc>
          <w:tcPr>
            <w:tcW w:w="5740" w:type="dxa"/>
            <w:vAlign w:val="bottom"/>
          </w:tcPr>
          <w:p>
            <w:pPr>
              <w:spacing w:after="0"/>
              <w:rPr>
                <w:sz w:val="15"/>
                <w:szCs w:val="15"/>
                <w:color w:val="auto"/>
              </w:rPr>
            </w:pPr>
          </w:p>
        </w:tc>
        <w:tc>
          <w:tcPr>
            <w:tcW w:w="204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5"/>
                <w:szCs w:val="15"/>
                <w:b w:val="1"/>
                <w:bCs w:val="1"/>
                <w:color w:val="auto"/>
              </w:rPr>
              <w:t>Common Stock</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1"/>
              </w:rPr>
              <w:t>Paid-in</w:t>
            </w:r>
          </w:p>
        </w:tc>
        <w:tc>
          <w:tcPr>
            <w:tcW w:w="14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5"/>
                <w:szCs w:val="15"/>
                <w:b w:val="1"/>
                <w:bCs w:val="1"/>
                <w:color w:val="auto"/>
              </w:rPr>
              <w:t>Retained</w:t>
            </w:r>
          </w:p>
        </w:tc>
        <w:tc>
          <w:tcPr>
            <w:tcW w:w="1020" w:type="dxa"/>
            <w:vAlign w:val="bottom"/>
            <w:gridSpan w:val="3"/>
          </w:tcPr>
          <w:p>
            <w:pPr>
              <w:ind w:left="20"/>
              <w:spacing w:after="0"/>
              <w:rPr>
                <w:sz w:val="20"/>
                <w:szCs w:val="20"/>
                <w:color w:val="auto"/>
              </w:rPr>
            </w:pPr>
            <w:r>
              <w:rPr>
                <w:rFonts w:ascii="Arial" w:cs="Arial" w:eastAsia="Arial" w:hAnsi="Arial"/>
                <w:sz w:val="15"/>
                <w:szCs w:val="15"/>
                <w:b w:val="1"/>
                <w:bCs w:val="1"/>
                <w:color w:val="auto"/>
                <w:w w:val="98"/>
              </w:rPr>
              <w:t>Stockholders’</w:t>
            </w:r>
          </w:p>
        </w:tc>
      </w:tr>
      <w:tr>
        <w:trPr>
          <w:trHeight w:val="250"/>
        </w:trPr>
        <w:tc>
          <w:tcPr>
            <w:tcW w:w="5740" w:type="dxa"/>
            <w:vAlign w:val="bottom"/>
          </w:tcPr>
          <w:p>
            <w:pPr>
              <w:spacing w:after="0"/>
              <w:rPr>
                <w:sz w:val="21"/>
                <w:szCs w:val="21"/>
                <w:color w:val="auto"/>
              </w:rPr>
            </w:pPr>
          </w:p>
        </w:tc>
        <w:tc>
          <w:tcPr>
            <w:tcW w:w="900" w:type="dxa"/>
            <w:vAlign w:val="bottom"/>
            <w:tcBorders>
              <w:bottom w:val="single" w:sz="8" w:color="auto"/>
            </w:tcBorders>
          </w:tcPr>
          <w:p>
            <w:pPr>
              <w:jc w:val="right"/>
              <w:ind w:right="135"/>
              <w:spacing w:after="0"/>
              <w:rPr>
                <w:sz w:val="20"/>
                <w:szCs w:val="20"/>
                <w:color w:val="auto"/>
              </w:rPr>
            </w:pPr>
            <w:r>
              <w:rPr>
                <w:rFonts w:ascii="Arial" w:cs="Arial" w:eastAsia="Arial" w:hAnsi="Arial"/>
                <w:sz w:val="15"/>
                <w:szCs w:val="15"/>
                <w:b w:val="1"/>
                <w:bCs w:val="1"/>
                <w:color w:val="auto"/>
              </w:rPr>
              <w:t>Shares</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14"/>
              <w:spacing w:after="0"/>
              <w:rPr>
                <w:sz w:val="20"/>
                <w:szCs w:val="20"/>
                <w:color w:val="auto"/>
              </w:rPr>
            </w:pPr>
            <w:r>
              <w:rPr>
                <w:rFonts w:ascii="Arial" w:cs="Arial" w:eastAsia="Arial" w:hAnsi="Arial"/>
                <w:sz w:val="15"/>
                <w:szCs w:val="15"/>
                <w:b w:val="1"/>
                <w:bCs w:val="1"/>
                <w:color w:val="auto"/>
                <w:w w:val="98"/>
              </w:rPr>
              <w:t>Amount</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center"/>
              <w:ind w:right="16"/>
              <w:spacing w:after="0"/>
              <w:rPr>
                <w:sz w:val="20"/>
                <w:szCs w:val="20"/>
                <w:color w:val="auto"/>
              </w:rPr>
            </w:pPr>
            <w:r>
              <w:rPr>
                <w:rFonts w:ascii="Arial" w:cs="Arial" w:eastAsia="Arial" w:hAnsi="Arial"/>
                <w:sz w:val="15"/>
                <w:szCs w:val="15"/>
                <w:b w:val="1"/>
                <w:bCs w:val="1"/>
                <w:color w:val="auto"/>
                <w:w w:val="95"/>
              </w:rPr>
              <w:t>Capital</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Earnings</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right="35"/>
              <w:spacing w:after="0"/>
              <w:rPr>
                <w:sz w:val="20"/>
                <w:szCs w:val="20"/>
                <w:color w:val="auto"/>
              </w:rPr>
            </w:pPr>
            <w:r>
              <w:rPr>
                <w:rFonts w:ascii="Arial" w:cs="Arial" w:eastAsia="Arial" w:hAnsi="Arial"/>
                <w:sz w:val="15"/>
                <w:szCs w:val="15"/>
                <w:b w:val="1"/>
                <w:bCs w:val="1"/>
                <w:color w:val="auto"/>
                <w:w w:val="95"/>
              </w:rPr>
              <w:t>Equity</w:t>
            </w:r>
          </w:p>
        </w:tc>
        <w:tc>
          <w:tcPr>
            <w:tcW w:w="100" w:type="dxa"/>
            <w:vAlign w:val="bottom"/>
          </w:tcPr>
          <w:p>
            <w:pPr>
              <w:spacing w:after="0"/>
              <w:rPr>
                <w:sz w:val="21"/>
                <w:szCs w:val="2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January 1, 2019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2,725,039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5,036,213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(38,932)</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5,000,006</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69,258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(188,035)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(187,966)</w:t>
            </w:r>
          </w:p>
        </w:tc>
      </w:t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187,965</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187,965</w:t>
            </w:r>
          </w:p>
        </w:tc>
        <w:tc>
          <w:tcPr>
            <w:tcW w:w="100" w:type="dxa"/>
            <w:vAlign w:val="bottom"/>
            <w:shd w:val="clear" w:color="auto" w:fill="CCEEFF"/>
          </w:tcPr>
          <w:p>
            <w:pPr>
              <w:spacing w:after="0"/>
              <w:rPr>
                <w:sz w:val="22"/>
                <w:szCs w:val="22"/>
                <w:color w:val="auto"/>
              </w:rPr>
            </w:pPr>
          </w:p>
        </w:tc>
      </w:tr>
      <w:tr>
        <w:trPr>
          <w:trHeight w:val="210"/>
        </w:trPr>
        <w:tc>
          <w:tcPr>
            <w:tcW w:w="574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2,794,297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4,848,178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149,033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5,000,005</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(367,234)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(367,227)</w:t>
            </w:r>
          </w:p>
        </w:tc>
      </w:t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w w:val="91"/>
              </w:rPr>
              <w:t>Capital contribution to Trust Account to extend the date by which the Company</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 required to consummate a Business Combination</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191,209</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191,209</w:t>
            </w:r>
          </w:p>
        </w:tc>
        <w:tc>
          <w:tcPr>
            <w:tcW w:w="100" w:type="dxa"/>
            <w:vAlign w:val="bottom"/>
            <w:shd w:val="clear" w:color="auto" w:fill="CCEEFF"/>
          </w:tcPr>
          <w:p>
            <w:pPr>
              <w:spacing w:after="0"/>
              <w:rPr>
                <w:sz w:val="19"/>
                <w:szCs w:val="19"/>
                <w:color w:val="auto"/>
              </w:rPr>
            </w:pPr>
          </w:p>
        </w:tc>
      </w:t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176,021</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176,021</w:t>
            </w:r>
          </w:p>
        </w:tc>
        <w:tc>
          <w:tcPr>
            <w:tcW w:w="100" w:type="dxa"/>
            <w:vAlign w:val="bottom"/>
            <w:shd w:val="clear" w:color="auto" w:fill="CCEEFF"/>
          </w:tcPr>
          <w:p>
            <w:pPr>
              <w:spacing w:after="0"/>
              <w:rPr>
                <w:sz w:val="19"/>
                <w:szCs w:val="19"/>
                <w:color w:val="auto"/>
              </w:rPr>
            </w:pPr>
          </w:p>
        </w:tc>
      </w:tr>
      <w:tr>
        <w:trPr>
          <w:trHeight w:val="216"/>
        </w:trPr>
        <w:tc>
          <w:tcPr>
            <w:tcW w:w="574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June 30, 2019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2,801,350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2,801</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4,672,153</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325,054</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5,000,008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0" w:type="dxa"/>
            <w:vAlign w:val="bottom"/>
            <w:gridSpan w:val="6"/>
          </w:tcPr>
          <w:p>
            <w:pPr>
              <w:jc w:val="right"/>
              <w:ind w:right="480"/>
              <w:spacing w:after="0"/>
              <w:rPr>
                <w:sz w:val="20"/>
                <w:szCs w:val="20"/>
                <w:color w:val="auto"/>
              </w:rPr>
            </w:pPr>
            <w:r>
              <w:rPr>
                <w:rFonts w:ascii="Arial" w:cs="Arial" w:eastAsia="Arial" w:hAnsi="Arial"/>
                <w:sz w:val="15"/>
                <w:szCs w:val="15"/>
                <w:b w:val="1"/>
                <w:bCs w:val="1"/>
                <w:color w:val="auto"/>
                <w:w w:val="97"/>
              </w:rPr>
              <w:t>Six Months Ended June 30,</w:t>
            </w:r>
          </w:p>
        </w:tc>
      </w:tr>
      <w:tr>
        <w:trPr>
          <w:trHeight w:val="250"/>
        </w:trPr>
        <w:tc>
          <w:tcPr>
            <w:tcW w:w="70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5"/>
                <w:szCs w:val="15"/>
                <w:b w:val="1"/>
                <w:bCs w:val="1"/>
                <w:color w:val="auto"/>
              </w:rPr>
              <w:t>2020</w:t>
            </w:r>
          </w:p>
        </w:tc>
        <w:tc>
          <w:tcPr>
            <w:tcW w:w="1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21"/>
                <w:szCs w:val="21"/>
                <w:color w:val="auto"/>
              </w:rPr>
            </w:pPr>
          </w:p>
        </w:tc>
      </w:tr>
      <w:tr>
        <w:trPr>
          <w:trHeight w:val="242"/>
        </w:trPr>
        <w:tc>
          <w:tcPr>
            <w:tcW w:w="702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123,719</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363,986</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cash and marketable securities held in Trust Account</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(138,094)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(775,301)</w:t>
            </w:r>
          </w:p>
        </w:tc>
      </w:tr>
      <w:tr>
        <w:trPr>
          <w:trHeight w:val="216"/>
        </w:trPr>
        <w:tc>
          <w:tcPr>
            <w:tcW w:w="7020" w:type="dxa"/>
            <w:vAlign w:val="bottom"/>
          </w:tcPr>
          <w:p>
            <w:pPr>
              <w:ind w:left="180"/>
              <w:spacing w:after="0"/>
              <w:rPr>
                <w:sz w:val="20"/>
                <w:szCs w:val="20"/>
                <w:color w:val="auto"/>
              </w:rPr>
            </w:pPr>
            <w:r>
              <w:rPr>
                <w:rFonts w:ascii="Arial" w:cs="Arial" w:eastAsia="Arial" w:hAnsi="Arial"/>
                <w:sz w:val="18"/>
                <w:szCs w:val="18"/>
                <w:color w:val="auto"/>
              </w:rPr>
              <w:t>Forgiveness of debt</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(352,071)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0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(33,200)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(20,769)</w:t>
            </w:r>
          </w:p>
        </w:tc>
      </w:tr>
      <w:tr>
        <w:trPr>
          <w:trHeight w:val="216"/>
        </w:trPr>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incomes taxes</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26,868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(118,651)</w:t>
            </w:r>
          </w:p>
        </w:tc>
      </w:tr>
      <w:tr>
        <w:trPr>
          <w:trHeight w:val="237"/>
        </w:trPr>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72,392</w:t>
            </w:r>
          </w:p>
        </w:tc>
      </w:tr>
      <w:tr>
        <w:trPr>
          <w:trHeight w:val="20"/>
        </w:trPr>
        <w:tc>
          <w:tcPr>
            <w:tcW w:w="70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7020" w:type="dxa"/>
            <w:vAlign w:val="bottom"/>
          </w:tcPr>
          <w:p>
            <w:pPr>
              <w:ind w:left="500"/>
              <w:spacing w:after="0"/>
              <w:rPr>
                <w:sz w:val="20"/>
                <w:szCs w:val="20"/>
                <w:color w:val="auto"/>
              </w:rPr>
            </w:pPr>
            <w:r>
              <w:rPr>
                <w:rFonts w:ascii="Arial" w:cs="Arial" w:eastAsia="Arial" w:hAnsi="Arial"/>
                <w:sz w:val="18"/>
                <w:szCs w:val="18"/>
                <w:b w:val="1"/>
                <w:bCs w:val="1"/>
                <w:color w:val="auto"/>
              </w:rPr>
              <w:t>Net cash used in operating activities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(306,891)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(478,343)</w:t>
            </w:r>
          </w:p>
        </w:tc>
      </w:tr>
      <w:tr>
        <w:trPr>
          <w:trHeight w:val="21"/>
        </w:trPr>
        <w:tc>
          <w:tcPr>
            <w:tcW w:w="7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70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Cash withdrawn from Trust Account to pay redeeming stockholders</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25,997,965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22,099,233</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Cash withdrawn from Trust Account to pay franchise taxes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120,830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261,793</w:t>
            </w:r>
          </w:p>
        </w:tc>
      </w:tr>
      <w:tr>
        <w:trPr>
          <w:trHeight w:val="237"/>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Investment of cash in Trust Account</w:t>
            </w:r>
          </w:p>
        </w:tc>
        <w:tc>
          <w:tcPr>
            <w:tcW w:w="1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(215,741)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(690,000)</w:t>
            </w:r>
          </w:p>
        </w:tc>
      </w:tr>
      <w:tr>
        <w:trPr>
          <w:trHeight w:val="20"/>
        </w:trPr>
        <w:tc>
          <w:tcPr>
            <w:tcW w:w="70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7020" w:type="dxa"/>
            <w:vAlign w:val="bottom"/>
          </w:tcPr>
          <w:p>
            <w:pPr>
              <w:ind w:left="500"/>
              <w:spacing w:after="0"/>
              <w:rPr>
                <w:sz w:val="20"/>
                <w:szCs w:val="20"/>
                <w:color w:val="auto"/>
              </w:rPr>
            </w:pPr>
            <w:r>
              <w:rPr>
                <w:rFonts w:ascii="Arial" w:cs="Arial" w:eastAsia="Arial" w:hAnsi="Arial"/>
                <w:sz w:val="18"/>
                <w:szCs w:val="18"/>
                <w:b w:val="1"/>
                <w:bCs w:val="1"/>
                <w:color w:val="auto"/>
              </w:rPr>
              <w:t>Net cash provided by investing activities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9"/>
              </w:rPr>
              <w:t>25,903,054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7"/>
              </w:rPr>
              <w:t>21,671,026</w:t>
            </w:r>
          </w:p>
        </w:tc>
      </w:tr>
      <w:tr>
        <w:trPr>
          <w:trHeight w:val="21"/>
        </w:trPr>
        <w:tc>
          <w:tcPr>
            <w:tcW w:w="7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70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promissory notes</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690,000</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Proceeds from promissory note – related party</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269,335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271,865</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Repayment of promissory note – related party</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(65,000)</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Redemption of common stock</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(25,997,965)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(22,099,233)</w:t>
            </w:r>
          </w:p>
        </w:tc>
      </w:tr>
      <w:tr>
        <w:trPr>
          <w:trHeight w:val="20"/>
        </w:trPr>
        <w:tc>
          <w:tcPr>
            <w:tcW w:w="7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702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Net cash used in financing activities</w:t>
            </w:r>
          </w:p>
        </w:tc>
        <w:tc>
          <w:tcPr>
            <w:tcW w:w="1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(25,596,162)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2"/>
              </w:rPr>
              <w:t>(21,202,368)</w:t>
            </w:r>
          </w:p>
        </w:tc>
      </w:tr>
      <w:tr>
        <w:trPr>
          <w:trHeight w:val="210"/>
        </w:trPr>
        <w:tc>
          <w:tcPr>
            <w:tcW w:w="70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(9,685)</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Cash – Beginning</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11,079</w:t>
            </w:r>
          </w:p>
        </w:tc>
      </w:tr>
      <w:tr>
        <w:trPr>
          <w:trHeight w:val="20"/>
        </w:trPr>
        <w:tc>
          <w:tcPr>
            <w:tcW w:w="7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 Ending</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1,394</w:t>
            </w:r>
          </w:p>
        </w:tc>
      </w:tr>
      <w:tr>
        <w:trPr>
          <w:trHeight w:val="210"/>
        </w:trPr>
        <w:tc>
          <w:tcPr>
            <w:tcW w:w="70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1,497,477</w:t>
            </w:r>
          </w:p>
        </w:tc>
        <w:tc>
          <w:tcPr>
            <w:tcW w:w="18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555,193</w:t>
            </w:r>
          </w:p>
        </w:tc>
      </w:tr>
      <w:tr>
        <w:trPr>
          <w:trHeight w:val="20"/>
        </w:trPr>
        <w:tc>
          <w:tcPr>
            <w:tcW w:w="7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 to Trust Account</w:t>
            </w:r>
          </w:p>
        </w:tc>
        <w:tc>
          <w:tcPr>
            <w:tcW w:w="16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191,209</w:t>
            </w:r>
          </w:p>
        </w:tc>
      </w:tr>
      <w:tr>
        <w:trPr>
          <w:trHeight w:val="20"/>
        </w:trPr>
        <w:tc>
          <w:tcPr>
            <w:tcW w:w="70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ORGANIZATION AND BUSINESS OPERATIONS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Big Rock Partners Acquisition Corp. (the “Company”) is a blank check company incorporated in Delaware on September 18, 2017. The Company was formed for the purpose of acquiring, through a merger, share exchange, asset acquisition, stock purchase, reorganization, recapitalization, or other similar business transaction, one or more operating businesses or entities (a “Business Combination”). The Company is not limited to a particular industry or geographic region for purposes of consummating a Business Combination.</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All activity through June 30, 2020 relates to the Company’s formation, its initial public offering (“Initial Public Offering”), which is described below, and the search for a target business with which to complete a Business Combination.</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registration statement for the Company’s Initial Public Offering was declared effective on November 20, 2017. On November 22, 2017, the Company consummated the Initial Public Offering of 6,000,000 units (the “Units” and, with respect to the common stock included in the Units being offered, the “Public Shares”), generating gross proceeds of $60,000,000, which is described in Note 3. Each Unit consists of one share of common stock, one right (“Public Right”) and one-half of one warrant (“Public Warrant”). Each Public Right will convert into one-tenth (1/10) of one share of common stock upon consummation of a Business Combination. Each whole Public Warrant entitles the holder to purchase one share of common stock at an exercise price of $11.50 per whole share.</w:t>
      </w:r>
    </w:p>
    <w:p>
      <w:pPr>
        <w:spacing w:after="0" w:line="169"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Simultaneously with the Initial Public Offering, the Company consummated the sale of 250,000 units (the “Private Placement Units”) at a price of $10.00 per Unit in a private placement to Big Rock Partners Sponsor, LLC (the “Sponsor”), generating gross proceeds of $2,500,000, which is described in Note 4.</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Following the closing of the Initial Public Offering, $60,000,000 ($10.00 per Unit) from the net proceeds of the sale of the Units in the Initial Public Offering and the Private Placement Units was placed in a trust account (the “Trust Account”) which may be invested in U.S. government securities, within the meaning set forth in Section 2(a)(16) of the Investment Company Act of 1940, as amended (the “Investment Company Act”), with a maturity of 180 days or less or in any open-ended investment company that holds itself out as a money market fund selected by the Company meeting the conditions of Rule 2a-7 of the Investment Company Act, as determined by the Company, until the earlier of: (i) the consummation of a Business Combination or (ii) the distribution of the Trust Account, as described below.</w:t>
      </w:r>
    </w:p>
    <w:p>
      <w:pPr>
        <w:spacing w:after="0" w:line="19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November 29, 2017, in connection with the underwriters’ exercise of their over-allotment option in full, the Company consummated the sale of an additional 900,000 Units, and the sale of an additional 22,500 Private Placement Units at $10.00 per unit, generating total gross proceeds of $9,225,000. A total of $9,000,000 of the net proceeds were deposited in the Trust Account, bringing the aggregate proceeds held in the Trust Account to $69,000,000.</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closing of the Initial Public Offering, the Company issued EarlyBirdCapital, Inc. ("EarlyBirdCapital") and its designees 120,000 shares of common stock (the “Representative Shares”). On November 29, 2017, the Company issued an additional 18,000 Representative Shares for no consideration (see Note 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Transaction costs amounted to $2,172,419, consisting of $1,725,000 of underwriting fees and $447,419 of Initial Public Offering costs.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Private Placement Units, although substantially all of the net proceeds are intended to be applied generally toward consummating a Business Combination. The Company’s initial Business Combination must be with one or more target businesses that together have a fair market value equal to at least 80% of the balance in the Trust Account (excluding taxes payable on income earned on the Trust Account) at the time of the signing an agreement to enter into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successfully effect a Business Combination.</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will provide its stockholders with the opportunity to redeem all or a portion of their shares included in the Units sold in the Initial Public Offering (the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stockholders will be entitled to redeem their shares for a pro rata portion of the amount then on deposit in the Trust Account ($10.00 per share, plus any pro rata interest earned on the funds held in the Trust Account and not previously released to the Company to pay its franchise and income tax obligations). There will be no redemption rights upon the completion of a Business Combination with respect to the Company’s warrants.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JUNE 30, 2020</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46"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The Company will proceed with a Business Combination if the Company has net tangible assets of at least $5,000,001 upon such consummation of a Business Combination and, if the Company seeks stockholder approval, a majority of the outstanding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conduct the redemptions pursuant to the tender offer rules of the Securities and Exchange Commission (the “SEC”), and file tender offer documents with the SEC prior to completing a Business Combination. If, however, a stockholder approval of the transaction is required by law, or the Company decides to obtain stockholder approval for business or other legal reasons, the Company will offer to redeem shares in conjunction with a proxy solicitation pursuant to the proxy rules and not pursuant to the tender offer rules. If the Company seeks stockholder approval in connection with a Business Combination, the Company’s Sponsor, officers and directors (the “Initial Stockholders”) have agreed (a) to vote their Founder’s Shares (as defined in Note 5), Placement Shares (as defined in Note 4) and any Public Shares held by them in favor of approving a Business Combination and</w:t>
      </w:r>
    </w:p>
    <w:p>
      <w:pPr>
        <w:spacing w:after="0" w:line="3" w:lineRule="exact"/>
        <w:rPr>
          <w:sz w:val="20"/>
          <w:szCs w:val="20"/>
          <w:color w:val="auto"/>
        </w:rPr>
      </w:pPr>
    </w:p>
    <w:p>
      <w:pPr>
        <w:jc w:val="both"/>
        <w:ind w:firstLine="8"/>
        <w:spacing w:after="0" w:line="302" w:lineRule="auto"/>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not to convert any Founder’s Shares, Placement Shares and any Public Shares held by them in connection with a stockholder vote to approve a Business Combination or sell any such shares to the Company in a tender offer in connection with a Business Combination. Additionally, each public stockholder may elect to redeem their Public Shares irrespective of whether they vote for or against the proposed transaction.</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initially had until November 22, 2018 to complete a Business Combination. However, if the Company anticipated that it could not be able to consummate a Business Combination by November 22, 2018, the Company could extend the period of time to consummate a Business Combination up to two times, each by an additional three months. Pursuant to the terms of the Company's Amended and Restated Certificate of Incorporation and the trust agreement entered into between the Company and Continental Stock Transfer &amp; Trust Company on November 20, 2017, in order to extend the time available for the Company to consummate a Business Combination, the Sponsor or its affiliates or designees must deposit into the Trust Account $690,000 ($0.10 per share) for each three month extension, up to an aggregate of $1,380,000, or $0.20 per share, if the Company extends for the full six months, on or prior to the date of the applicable deadline.</w:t>
      </w:r>
    </w:p>
    <w:p>
      <w:pPr>
        <w:spacing w:after="0" w:line="20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November 20, 2018, the period of time for the Company to consummate a Business Combination was extended for an additional three-month period ending on February 22, 2019, and, accordingly, $690,000 was deposited into the Trust Account. On February 21, 2019, the Company further extended the time required to consummate a Business Combination to May 22, 2019 and deposited an additional $690,000 into the Trust Account. The deposits were funded by non-interest bearing unsecured promissory notes from BRAC Lending Group LLC, an affiliate of the underwriter (the “Investor”) (see Note 6). The notes are repayable upon the consummation of a Business Combination (see Note 6).</w:t>
      </w:r>
    </w:p>
    <w:p>
      <w:pPr>
        <w:spacing w:after="0" w:line="16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May 21, 2019, the Company’s stockholders approved an amendment to its Amended and Restated Certificate of Incorporation to extend the period of time for which the Company was required to consummate a Business Combination to August 22, 2019. The number of shares of common stock presented for redemption in connection with the extension was 2,119,772. The Company paid cash in the aggregate amount of $22,099,233, or approximately $10.43 per share, to redeeming stockholders. The Company agreed to deposit, or cause to be deposited on its behalf, into the Trust Account $0.02 for each public share outstanding for each 30-day extension period utilized through August 22, 2019. In connection with this extension, the Company deposited an aggregate of $286,814 into the Trust Account, of which $280,000 was contributed to the Trust Account by a third party and is not required to be repaid by the Company. Accordingly, the Company has recorded this amount as a credit to additional paid in capital in the accompanying statements of stockholders’ equity. In order to pay for part of the third extension payment, the Company issued an unsecured promissory note (the “Second Note”) in favor of the Investor, in the original principal amount of $6,814 (see Note 6).</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August 21, 2019, the Company stockholders approved an amendment to the Company’s Amended and Restated Certificate of Incorporation to extend the period of time for which the Company is required to consummate a Business Combination (the “Extension”) from August 22, 2019 to November 22, 2019. The number of shares of common stock presented for redemption in connection with the Extension was 846,888. The Company paid cash in the aggregate amount of $8,891,378, or approximately $10.50 per share, to redeeming stockholders. The Company agreed to deposit, or cause to be deposited on its behalf, into the Trust Account $0.02 for each public share outstanding for each 30-day extension period utilized through the Extension. In connection with this extension, the Company deposited an aggregate of $236,000 into the Trust Account to fund this extension payment, which amount was loaned to the Company by AZ Property Partners, LLC (“AZ Property Partners”), an entity majority owned and controlled by Richard Ackerman, the Company's Chairman, President and Chief Executive Officer, and Investor (see Note 6).</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November 21, 2019, the Company's stockholders approved an amendment to the Company's Amended and Restated Certificate of Incorporation to extend the period of time for which the Company is required to consummate a Business Combination (the “Second Extension”) from November 22, 2019 to March 23, 2020. The number of shares of common stock presented for redemption in connection with the Second Extension was 919,091. The Company paid cash in the aggregate amount of $9,736,077, or approximately $10.59 per share, to redeeming stockholders. The Company agreed to deposit, or cause to be deposited on its behalf, into the Trust Account $0.02 for each public share outstanding for each 30-day extension period utilized through the Second Extension. In connection with this extension, the Company deposited an aggregate of $60,285 into the Trust Account to fund the first thirty-day extension through December 22, 2019, which amount was loaned to the Company by AZ Property Partners and Investor (see Note 6). In January and February 2020, AZ Property Partners and Investor loaned the Company an additional aggregate amount of $90,427 each to pay for the extension through March 23, 2020, which was deposited into the Trust Account.</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March 23, 2020, the Company's stockholders approved an amendment to the Amended and Restated Certificate of Incorporation to extend the period of time for which the Company is required to consummate a Business Combination (the “Third Extension”) from March 23, 2020 to July 23, 2020. The number of shares of common stock presented for redemption in connection with the Third Extension was 2,433,721. The Company paid cash in the aggregate amount of $25,997,965, or approximately $10.68 per share, to redeeming stockholders. The Company agreed to deposit, or cause to be deposited on its behalf, into the Trust Account $0.02 for each public share outstanding for each 30-day extension period utilized through the Third Extension. Notwithstanding the foregoing, if the volume weighted average price of the Company's common stock during the 10-day trading period ending on the 3</w:t>
      </w:r>
      <w:r>
        <w:rPr>
          <w:rFonts w:ascii="Arial" w:cs="Arial" w:eastAsia="Arial" w:hAnsi="Arial"/>
          <w:sz w:val="22"/>
          <w:szCs w:val="22"/>
          <w:color w:val="auto"/>
          <w:vertAlign w:val="superscript"/>
        </w:rPr>
        <w:t>rd</w:t>
      </w:r>
      <w:r>
        <w:rPr>
          <w:rFonts w:ascii="Arial" w:cs="Arial" w:eastAsia="Arial" w:hAnsi="Arial"/>
          <w:sz w:val="16"/>
          <w:szCs w:val="16"/>
          <w:color w:val="auto"/>
        </w:rPr>
        <w:t xml:space="preserve"> day prior to the end of any applicable monthly period is equal to or greater than $11.00 and the trading volume during the 10-day trading period exceeds 100,000 shares, the obligation to make any particular deposit would terminate with respect to the immediately following monthly period (but not with respect to any other future monthly period). In connection with this extension, the Company deposited an aggregate of $34,858 into the Trust Account to fund the extension through July 23, 2020, of which $17,429 was loaned to the Company by each of AZ Property Partners and Investor.</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3" w:right="339" w:bottom="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July 23, 2020, the Company's stockholders approved an amendment to the Amended and Restated Certificate of Incorporation to extend the period of time for which the Company is required to consummate a Business Combination (the “Fourth Extension”) from July 23, 2020 to December 23, 2020 (the “Extended Date”). The number of shares of common stock presented for redemption in connection with the Fourth Extension was 27,786. The Company paid cash in amount of approximately $299,253, or approximately $10.77 per share, to redeeming stockholders. The Company agreed to deposit, or cause to be deposited on its behalf, into the Trust Account $0.02 for each public share outstanding for each 30-day extension period utilized through the Fourth Extension. In connection with this extension, as of July 31, 2020, the Company deposited an aggregate of $11,055 into the Trust Account to fund the first thirty-day extension through August 23, 2020, which amount was loaned to the Company by AZ Property Partners and Investor. Notwithstanding the foregoing, if the volume weighted average price of the Company's common stock during the 10-day trading period ending on the 3rd day prior to the end of any applicable monthly period is equal to or greater than $11.00 and the trading volume during the 10-day trading period exceeds 100,000 shares, the obligation to make any particular deposit would terminate with respect to the immediately following monthly period (but not with respect to any other future monthly period).</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If the Company is unable to complete a Business Combination by the Extended Date, the Company will (i) cease all operations except for the purpose of winding up, (ii) as promptly as reasonably possible but no more than ten business days thereafter, redeem 100% of the outstanding Public Shares, at a per share price, payable in cash, equal to the aggregate amount then on deposit in the Trust Account, including interest earned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remaining stockholders and the Company’s board of directors, proceed to commence a voluntary liquidation and thereby a formal dissolution of the Company, subject in each case to its obligations to provide for claims of creditors and the requirements of applicable law. In the event of such distribution, it is possible that the per share value of the assets remaining available for distribution (including Trust Account assets) will be less than the $10.00 per Unit in the Initial Public Offering.</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Initial Stockholders have agreed to (i) waive their redemption rights with respect to Founder Shares, Placement Shares and any Public Shares they may acquire during or after the Initial Public Offering in connection with the consummation of a Business Combination, (ii) to waive their rights to liquidating distributions from the Trust Account with respect to their Founder’s Shares and Placement Shares if the Company fails to consummate a Business Combination by the Extended Date and (iii) 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with the opportunity to redeem their Public Shares in conjunction with any such amendment. However, the Initial Stockholders will be entitled to liquidating distributions with respect to any Public Shares acquired if the Company fails to consummate a Business Combination or liquidates by Extended Date.</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order to protect the amounts held in the Trust Account, A/Z Property Partners,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Additionally, the agreement entered into by AZ Property Partners specifically provides for two exceptions to the indemnity it has given: it will have no liability (1) as to any claimed amounts owed to a target business or vendor or other entity who has executed an agreement with the Company waiving any right, title, interest or claim of any kind they may have in or to any monies held in the Trust Account, or (2) as to any claims for indemnification by the underwriters against certain liabilities, including liabilities under the Securities Act of 1933, as amended (the “Securities Act”). The Company will seek to reduce the possibility that AZ Property Partners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Notifications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7, 2019, the Company received a notice from the staff of the Listing Qualifications Department of Nasdaq (the “Staff”) stating that the Company was no longer in compliance with Nasdaq Listing Rule 5620(a) for continued listing due to its failure to hold an annual meeting of stockholders within twelve months of the end of the Company’s fiscal year ended December 31, 2017. The Company submitted a plan of compliance with Nasdaq and Nasdaq granted the Company an extension until May 22, 2019 to regain compliance with the rule by holding an annual meeting of stockholders. The Company held its annual meeting of stockholders on May 21, 2019 and, accordingly, the Staff determined that the Company was in compliance with Nasdaq Listing Rule 5620(a) for continued listing and the matter was closed.</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August 9, 2019, the Company received a notice from the Staff stating that the Company was no longer in compliance with Nasdaq Listing Rule 5550(a)(3) for continued listing due to its failure to maintain a minimum of 300 public holders (the “Rule”). The Company had until September 23, 2019 to provide Nasdaq with a specific plan to achieve and sustain compliance with the listing requirement. The notice is a notification of deficiency, not of imminent delisting, and had no current effect on the listing or trading of the Company's securities on Nasdaq.</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September 23, 2019 and October 28, 2019, the Company submitted a plan to regain compliance with Nasdaq and requested an extension through February 5, 2020. On October 28, 2019, Nasdaq requested additional information regarding the Company's compliance plan, to which the Company responded on November 8, 2019. On February 11, 2020, the Company received a notice from the Staff stating that, based upon the Company’s non-compliance with the Rule, the Staff had determined to delist the Company’s common stock from Nasdaq unless the Company timely requests a hearing before the Nasdaq Hearings Panel (the “Panel“). The Company was also notified that as a result of Nasdaq’s determination to delist the Company’s common stock, the Company’s warrants and rights no longer comply with Nasdaq Listing Rule 5560(a), which requires the underlying securities of such exercisable securities to remain listed on Nasdaq, and the Company’s Units no longer comply with Nasdaq Listing Rule 5225(b)(1)(A), which requires all component parts of units to meet the requirements for initial and continued listing, and the Company’s units, warrants and rights are now subject to delisting. The Company requested a hearing, which request automatically stayed any further action by the Staff pending the ultimate conclusion of the hearing process.</w:t>
      </w:r>
    </w:p>
    <w:p>
      <w:pPr>
        <w:spacing w:after="0" w:line="17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March 25, 2020, the Company received formal notice from Nasdaq indicating that the Staff had granted the Company’s request for continued listing on Nasdaq. The decision follows the Company’s hearing before the Panel, which took place on March 19, 2020. The Company’s continued listing is subject to the Company’s satisfaction of a number of conditions, including, ultimately, completion of a Business Combination with an operating company by no later than August 10, 2020, and the combined entity’s compliance with all applicable criteria for initial listing on Nasdaq at the time of the merger. The Company failed to meet certain of the conditions contained in the extension grant and has submitted a modified extension request to the Staff.</w:t>
      </w:r>
    </w:p>
    <w:p>
      <w:pPr>
        <w:sectPr>
          <w:pgSz w:w="11900" w:h="16838" w:orient="portrait"/>
          <w:cols w:equalWidth="0" w:num="1">
            <w:col w:w="11240"/>
          </w:cols>
          <w:pgMar w:left="320" w:top="503" w:right="339" w:bottom="0" w:gutter="0" w:footer="0" w:header="0"/>
        </w:sectPr>
      </w:pPr>
    </w:p>
    <w:bookmarkStart w:id="9" w:name="page10"/>
    <w:bookmarkEnd w:id="9"/>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40005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509"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August 10, 2020, the Company submitted a letter to Nasdaq indicating that it was in compliance with the Rule as of July 31, 2020 and, as a result, satisfies the minimum 300 public holder requirement and all other applicable criteria for continued listing on Nasdaq. Accordingly, the Company requested that the Staff render a formal determination to continue the listing of the Company’s securities. On August 11, 2020, the Company received a formal notice from Nasdaq notifying the Company that it regained compliance with the minimum 300 public holder requirement under Nasdaq rules and that the Panel had determined to continue the listing of the Company's securities on Nasdaq and close the matter.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June 30, 2020, the Company had $7 in its operating bank account, $6,240,245 in cash and marketable securities held in the Trust Account to be used for a Business Combination or to repurchase or convert stock in connection therewith and a working capital deficit of $264,031, which excludes prepaid income taxes of $3,596, which have been paid from amounts in the Trust Account. As of June 30, 2020, approximately $168,000 of the amount on deposit in the Trust Account represented interest income, which is available to pay the Company’s tax obligations. To date, the Company has withdrawn approximately $676,000 of interest from the Trust Account in order to pay the Company’s franchise and income taxes, of which approximately $121,000 was withdrawn during the six months ended June 30, 2020.</w:t>
      </w:r>
    </w:p>
    <w:p>
      <w:pPr>
        <w:spacing w:after="0" w:line="19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November 17, 2018, the Company entered into an agreement (the “Agreement”) with the Sponsor and the Investor, pursuant to which the Sponsor agreed to be responsible for all liabilities of the Company as of November 17, 2018 and to loan the Company the funds necessary to pay the expenses of the Company other than Business Combination expenses through the closing of a Business Combination when and as needed. If a Business Combination is not consummated, all outstanding loans made by the Sponsor will be forgiven (see Note 6). In addition, the Investor agreed to loan the Company all funds necessary to pay expenses incurred in connection with and in order to consummate a business combination (the “Business Combination Expenses”) and such loans will be added to the Notes (as defined in Note 6). If the Company does not consummate a Business Combination, all outstanding loans under the Notes will be forgiven, except to the extent of any funds held outside of the Trust Account after paying all other fees and expenses of the Company incurred prior to the date of such failure to consummate a Business Combination (see Note 6).</w:t>
      </w:r>
    </w:p>
    <w:p>
      <w:pPr>
        <w:spacing w:after="0" w:line="17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may raise additional capital through loans or additional investments from the Sponsor or its stockholders, officers, directors, or third parties. Other than as described above, the Company’s officers and directors and the Sponsor may, but are not obligated to, loan the Company funds, from time to time, in whatever amount they deem reasonable in their sole discretion, to meet the Company’s working capital needs.</w:t>
      </w:r>
    </w:p>
    <w:p>
      <w:pPr>
        <w:spacing w:after="0" w:line="16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does not believe it will need to raise additional funds in order to meet expenditures required for operating its business. Neither the Sponsor, nor any of the stockholders, officers or directors, or third parties are under any obligation to advance funds to, or invest in, the Company, except as discussed above. Accordingly, the Company may not be able to obtain additional financing. If the Company is unable to raise additional capital, it may be required to take additional measures to conserve liquidity, which could include, but not necessarily be limited to suspending the pursuit of a potential transaction. The Company cannot provide any assurance that new financing will be available to it on commercially acceptable terms, if at all. Even if the Company can obtain sufficient financing or raise additional capital, it only has until August 23, 2020 to consummate a Business Combination. There is no assurance that the Company will be able to do so prior to August 23,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3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91" w:lineRule="exact"/>
        <w:rPr>
          <w:sz w:val="20"/>
          <w:szCs w:val="20"/>
          <w:color w:val="auto"/>
        </w:rPr>
      </w:pPr>
    </w:p>
    <w:p>
      <w:pPr>
        <w:ind w:right="6480" w:firstLine="8"/>
        <w:spacing w:after="0" w:line="504" w:lineRule="auto"/>
        <w:tabs>
          <w:tab w:leader="none" w:pos="17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Securities and Exchange Commission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accompanying unaudited condensed financial statements should be read in conjunction with the Company’s Annual Report on Form 10-K for the year ended December 31, 2019 as filed with the SEC on March 30, 2020, which contains the audited financial statements and notes thereto. The interim results for the three and six months ended June 30, 2020 are not necessarily indicative of the results to be expected for the year ending December 31, 2020 or for any future interim periods.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9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will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condensed financial statements in conformity with GAAP requires management to make estimates and assumptions that affect the reported amounts of assets and liabilities and disclosure of contingent assets and liabilities at the date of the condensed financial statements and the reported amounts of revenues and expenses during the reporting period.</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the Company’s estimates.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June 30, 2020 and December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Marketable Securities Held in Trust Account</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2020 and December 31, 2019, the assets held in the Trust Account were held in money market funds, which are invested in U.S. Treasury securities. Through June 30, 2020, the Company has withdrawn $676,188 of interest from the Trust Account in order to pay the Company’s franchise and income taxes, of which $120,830 was withdrawn during the six months ended June 30,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2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common stock subject to possible redemption is presented at redemption value as temporary equity, outside of the stockholders’ equity section of the Company’s condensed balance sheets. At June 30, 2020, there are no shares of common stock subject to possible redemption.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20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As of June 30, 2020 and December 31, 2019, there were no unrecognized tax benefits and no amounts accrued for interest and penalties. The Company is currently not aware of any issues under review that could result in significant payments, accruals or material deviation from its position. The effective tax rate of 4% and 35% differs from the statutory tax rate of 25% for the three and six months ended June 30, 2020 primarily due to true-up adjustments from the prior year tax returns.</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may be subject to potential examination by federal, state and city taxing authorities in the areas of income taxes. These potential examinations may include questioning the timing and amount of deductions, the nexus of income among various tax jurisdictions and compliance with federal, state and city tax laws. The Company’s management does not expect that the total amount of unrecognized tax benefits will materially change over the next twelve months.</w:t>
      </w:r>
    </w:p>
    <w:p>
      <w:pPr>
        <w:spacing w:after="0" w:line="16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March 27, 2020, President Trump signed the Coronavirus Aid, Relief, and Economic Security "CARES" Act into law. The CARES Act includes several significant business tax provisions that, among other things, would eliminate the taxable income limit for certain net operating losses ("NOL) and allow businesses to carry back NOLs arising in 2018, 2019 and 2020 to the five prior years, suspend the excess business loss rules, accelerate refunds of previously generated corporate alternative minimum tax credits, generally loosen the business interest limitation under IRC section 163(j) from 30 percent to 50 percent among other technical corrections included in the Tax Cuts and Jobs Act tax provisions. The Company does not believe that the CARES Act will have a significant impact on Company's financial position or statement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Income Per Common Share</w:t>
      </w:r>
    </w:p>
    <w:p>
      <w:pPr>
        <w:spacing w:after="0" w:line="23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Net (loss) income per common share is computed by dividing net (loss) income by the weighted average number of common shares outstanding for the period. The Company applies the two-class method in calculating earnings per share. Shares of common stock subject to possible redemption at June 30, 2020 and 2019, which are not currently redeemable and are not redeemable at fair value, have been excluded from the calculation of basic net (loss) income per share since such shares, if redeemed, only participate in their pro rata share of the Trust Account earnings. The Company has not considered the effect of (1) warrants sold in the Initial Public Offering and private placement to purchase 3,586,250 shares of common stock, (2) rights sold in the Initial Public Offering and private placement that convert into 717,250 shares of common stock and (3) 600,000 shares of common stock, warrants to purchase 300,000 shares of common stock and rights that convert into 60,000 shares of common stock in the unit purchase option sold to the underwriter, in the calculation of diluted (loss) income per share, since the exercise of the warrants, the conversion of the rights into shares of common stock and the exercise of the unit purchase option are contingent upon the occurrence of future events. As a result, diluted (loss) income per common share is the same as basic (loss) income per common share for the periods presented.</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(Loss) Income Per Common Share</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net (loss) income is adjusted for the portion of income that is attributable to common stock subject to possible redemption, as these shares only participate in the earnings of the Trust Account and not the income or losses of the Company. Accordingly, basic and diluted loss per share is calculated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6"/>
          </w:tcPr>
          <w:p>
            <w:pPr>
              <w:jc w:val="right"/>
              <w:ind w:right="700"/>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5"/>
          </w:tcPr>
          <w:p>
            <w:pPr>
              <w:jc w:val="right"/>
              <w:ind w:right="760"/>
              <w:spacing w:after="0"/>
              <w:rPr>
                <w:sz w:val="20"/>
                <w:szCs w:val="20"/>
                <w:color w:val="auto"/>
              </w:rPr>
            </w:pPr>
            <w:r>
              <w:rPr>
                <w:rFonts w:ascii="Arial" w:cs="Arial" w:eastAsia="Arial" w:hAnsi="Arial"/>
                <w:sz w:val="15"/>
                <w:szCs w:val="15"/>
                <w:b w:val="1"/>
                <w:bCs w:val="1"/>
                <w:color w:val="auto"/>
              </w:rPr>
              <w:t>Six Months Ended</w:t>
            </w:r>
          </w:p>
        </w:tc>
      </w:tr>
      <w:tr>
        <w:trPr>
          <w:trHeight w:val="182"/>
        </w:trPr>
        <w:tc>
          <w:tcPr>
            <w:tcW w:w="5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5"/>
                <w:szCs w:val="15"/>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5"/>
                <w:szCs w:val="15"/>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50"/>
        </w:trPr>
        <w:tc>
          <w:tcPr>
            <w:tcW w:w="5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5"/>
                <w:szCs w:val="15"/>
                <w:b w:val="1"/>
                <w:bCs w:val="1"/>
                <w:color w:val="auto"/>
              </w:rPr>
              <w:t>2020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2020</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21"/>
                <w:szCs w:val="2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(149,501)</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176,021</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123,719</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363,986</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w w:val="94"/>
              </w:rPr>
              <w:t>Less: Income attributable to common stock subject to possible redemption</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(259,727)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(518,924)</w:t>
            </w:r>
          </w:p>
        </w:tc>
      </w:tr>
      <w:tr>
        <w:trPr>
          <w:trHeight w:val="21"/>
        </w:trPr>
        <w:tc>
          <w:tcPr>
            <w:tcW w:w="5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Adjusted net (loss) income</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(149,501)</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(83,706)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123,719</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(154,938)</w:t>
            </w:r>
          </w:p>
        </w:tc>
      </w:tr>
      <w:tr>
        <w:trPr>
          <w:trHeight w:val="210"/>
        </w:trPr>
        <w:tc>
          <w:tcPr>
            <w:tcW w:w="56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57"/>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3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2,716,028</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2,794,297</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2,780,221</w:t>
            </w:r>
          </w:p>
        </w:tc>
        <w:tc>
          <w:tcPr>
            <w:tcW w:w="2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2,759,859</w:t>
            </w:r>
          </w:p>
        </w:tc>
      </w:tr>
      <w:tr>
        <w:trPr>
          <w:trHeight w:val="209"/>
        </w:trPr>
        <w:tc>
          <w:tcPr>
            <w:tcW w:w="56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57"/>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income per common share</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(0.06)</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(0.06)</w:t>
            </w:r>
          </w:p>
        </w:tc>
      </w:tr>
      <w:tr>
        <w:trPr>
          <w:trHeight w:val="423"/>
        </w:trPr>
        <w:tc>
          <w:tcPr>
            <w:tcW w:w="56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Concentration of Credit Risk</w:t>
            </w:r>
          </w:p>
        </w:tc>
        <w:tc>
          <w:tcPr>
            <w:tcW w:w="3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bl>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31"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ASC Topic 820, “Fair Value Measurement,” approximates the carrying amounts represented in the accompanying condensed balance sheets, primarily due to their short-term nature.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condensed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INITIAL PUBLIC OFFERING</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Pursuant to the Initial Public Offering, the Company sold 6,900,000 Units at a purchase price of $10.00 per Unit, which includes the full exercise by the underwriters of their over-allotment option of 900,000 Units at $10.00 per Unit. Each Unit consists of one share of common stock, one Public Right and one Public Warrant. Each Public Right will convert into one-tenth (1/10) of one share of common stock upon consummation of a Business Combination (see Note 8). Each whole Public Warrant entitles the holder to purchase one share of common stock at an exercise price of $11.50 per whole share (see Note 8).</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PRIVATE PLACEMENT</w:t>
      </w:r>
    </w:p>
    <w:p>
      <w:pPr>
        <w:spacing w:after="0" w:line="2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Simultaneously with the Initial Public Offering, the Sponsor purchased 250,000 Private Placement Units, at $10.00 per Private Placement Unit, for an aggregate purchase price of $2,500,000. On November 29, 2017, the Company consummated the sale of an additional 22,500 Private Placement Units at a price of $10.00 per unit, which were purchased by the Sponsor, generating gross proceeds of $225,000. Each Private Placement Unit consists of one share of common stock (“Placement Share”), one right (“Placement Right”) and one-half of one warrant (each, a “Placement Warrant”), each whole Placement Warrant exercisable to purchase one share of common stock at an exercise price of $11.50. The proceeds from the Private Placement Units were added to the proceeds from the Initial Public Offering held in the Trust Account. If the Company does not complete a Business Combination within the Combination Period, the proceeds from the sale of the Private Placement Units will be used to fund the redemption of the Public Shares (subject to the requirements of applicable law), and the Placement Rights and the Placement Warrants will expire worthless.</w:t>
      </w:r>
    </w:p>
    <w:p>
      <w:pPr>
        <w:spacing w:after="0" w:line="17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Private Placement Units are identical to the Units sold in the Initial Public Offering except that the Placement Warrants (i) are not redeemable by the Company and (ii) may be exercised for cash or on a cashless basis, so long as they are held by the initial purchaser or any of its permitted transferees. In addition, the Private Placement Units and their component securities may not be transferable, assignable or salable until after the consummation of a Business Combination, subject to certain limited exceptions. If the Placement Warrants are held by someone other than the initial purchasers or their permitted transferees, the Placement Warrants will be redeemable by the Company and exercisable by such holders on the same basis as the Public Warrants.</w:t>
      </w:r>
    </w:p>
    <w:p>
      <w:pPr>
        <w:spacing w:after="0" w:line="163" w:lineRule="exact"/>
        <w:rPr>
          <w:sz w:val="20"/>
          <w:szCs w:val="20"/>
          <w:color w:val="auto"/>
        </w:rPr>
      </w:pPr>
    </w:p>
    <w:p>
      <w:pPr>
        <w:ind w:right="8160" w:firstLine="8"/>
        <w:spacing w:after="0" w:line="504" w:lineRule="auto"/>
        <w:tabs>
          <w:tab w:leader="none" w:pos="17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Founder Shares</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September 2017, the Company issued an aggregate of 1,437,500 shares of common stock to the Sponsor (the “Founder Shares”) for an aggregate purchase price of $25,000. On November 20, 2017, the Company effectuated a 1.2-for-1 stock dividend of its common stock resulting in an aggregate of 1,725,000 Founder Shares outstanding. The Founder Shares included an aggregate of up to 225,000 shares subject to forfeiture by the Sponsor to the extent that the underwriters’ over-allotment was not exercised in full or in part, so that the Initial Stockholders would own 20% of the Company’s issued and outstanding shares after the Initial Public Offering (assuming the Initial Stockholders did not purchase any Public Shares in the Initial Public Offering and excluding the Private Placement Units and the Representative Shares (as defined in Note 8)). As a result of the underwriters’ election to fully exercise their over-allotment option, 225,000 Founder Shares are no longer subject to forfeiture.</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Initial Stockholders have agreed not to transfer, assign or sell any of the Founder’s Shares until the earlier of (i) one year after the date of the consummation of a Business Combination, or (ii) with respect to 50% of the Founder Shares, the date on which the closing price of the Company’s common stock equals or exceeds $12.50 per share (as adjusted for stock splits, stock dividends, reorganizations and recapitalizations) for any 20 trading days within any 30-trading day period commencing after a Business Combination, or earlier, in each case, if </w:t>
      </w:r>
      <w:r>
        <w:rPr>
          <w:rFonts w:ascii="Arial" w:cs="Arial" w:eastAsia="Arial" w:hAnsi="Arial"/>
          <w:sz w:val="16"/>
          <w:szCs w:val="16"/>
          <w:color w:val="231F20"/>
        </w:rPr>
        <w:t>subsequent to a Business Combination, the Company consummates</w:t>
      </w:r>
      <w:r>
        <w:rPr>
          <w:rFonts w:ascii="Arial" w:cs="Arial" w:eastAsia="Arial" w:hAnsi="Arial"/>
          <w:sz w:val="16"/>
          <w:szCs w:val="16"/>
          <w:color w:val="auto"/>
        </w:rPr>
        <w:t xml:space="preserve"> </w:t>
      </w:r>
      <w:r>
        <w:rPr>
          <w:rFonts w:ascii="Arial" w:cs="Arial" w:eastAsia="Arial" w:hAnsi="Arial"/>
          <w:sz w:val="16"/>
          <w:szCs w:val="16"/>
          <w:color w:val="231F20"/>
        </w:rPr>
        <w:t>a subsequent liquidation, merger, stock exchange, reorganization or other similar transaction which results in all of the Company’s stockholders having the right to exchange their common stock for cash, securities or other property.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order to finance transaction costs in connection with a Business Combination, the Sponsor, an affiliate of the Sponsor, or the Company’s officers and directors may, but are not obligated to, loan the Company funds from time to time or at any time, as may be required (“Working Capital Loans”). Each Working Capital Loan would be evidenced by a promissory note. The Working Capital Loans would either be paid upon consummation of a Business Combination, without interest, or, at the holder’s discretion, up to $1,500,000 of the Working Capital Loans may be converted into units at a price of $10.00 per unit. The units would be identical to the Private Placement Units. In the event that a Business Combination does not close, the loans will be forgiven. There were no outstanding Working Capital Loans at June 30, 2020 and December 31, 2019.</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INVESTOR AGREEMENT AND PROMISSORY NOTES</w:t>
      </w:r>
    </w:p>
    <w:p>
      <w:pPr>
        <w:spacing w:after="0" w:line="231"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On November 17, 2018, the Company entered into an Agreement with the Sponsor and the Investor. Pursuant to the Agreement, the Sponsor transferred an aggregate of 1,500,000 Founders Shares to the Investor in exchange for the agreements set forth below and aggregate cash consideration of $1.00.</w:t>
      </w:r>
    </w:p>
    <w:p>
      <w:pPr>
        <w:spacing w:after="0" w:line="1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Pursuant to the Agreement, the Sponsor agreed to extend the period of time the Company has to consummate a Business Combination up to two times for an aggregate of up to six months and the Investor agreed to loan the Company the funds necessary to obtain the extensions (the “Extensions”). On November 20, 2018 and February 21, 2019, the Company issued unsecured promissory notes (the “Initial Notes”) in favor of the Investor, in the original principal amount of $690,000 each (or an aggregate of $1,380,000), to provide the Company the funds necessary to obtain an aggregate of six-month Extensions. Pursuant to the Agreement, the Investor has also agreed to loan the Company all funds necessary to pay expenses incurred in connection with and in order to consummate a Business Combination (the “Business Combination Expenses”) and such loans will be added to the Notes.</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stockholders’ approval of the extended date of August 22, 2019, the Company issued another unsecured promissory note (the “Second Note”) in favor of the Investor in order to pay for part of the third extension payment in the original principal amount of $6,814. On December 31, 2019, the Company issued an unsecured promissory note, as amended on March 31, 2020, (the “Third Note” and, together with the Initial Notes and the Second Note, the “Extension Notes”) in favor of the Investor in the aggregate principal amount of $269,667 in order to pay for part of the extension payments. Through December 31, 2019, the Investor loaned the Company an aggregate amount of $118,667 under the Third Note to pay for part of the extension payment in connection with the Extension to November 22, 2019.</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2019, in connection with the stockholders’ approval of the extended date of March 23, 2020, the Investor loaned the Company an additional $30,142 under the Third Note to pay for part of the extension through December 22, 2019. In January and February 2020, the Investor loaned the Company an additional $90,427 under the Third Note to pay for part of the extension through March 23, 2020.</w:t>
      </w:r>
    </w:p>
    <w:p>
      <w:pPr>
        <w:spacing w:after="0" w:line="19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March, April and June 2020, in connection with the stockholders’ approval of the extended date of July 23, 2020, the Investor loaned the Company, under the Third Note, an aggregate amount of $17,429 to pay for part of the extension through June 23, 2020. In July 2020, the Investor loaned the Company an additional $5,805 to pay for part of the extension through July 23,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 April 2020, under the Third Note, the Investor loaned the Company an aggregate amount of $24,612 for working capital purposes.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July 2020, in connection with the stockholders’ approval of the Extended Date of December 23, 2020, the Investor loaned the Company, under the Third Note, an additional $5,527 to pay for part of the extension through August 23, 2020.</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Company does not consummate a Business Combination, all outstanding loans under the Extension Notes will be forgiven, except to the extent of any funds held outside of the Trust Account after paying all other fees and expenses of the Company incurred prior to the date of such failure to consummate a Business Combination.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the outstanding balance under the Extension Notes amounted to an aggregate of $1,668,091.</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Sponsor has agreed to be responsible for all liabilities of the Company effective November 17, 2018, except for liabilities associated with the possible redemption of shares by the Company’s shareholders, as described in the Company’s Amended and Restated Certificate of Incorporation. The Sponsor has also agreed to loan the Company the funds necessary to pay the expenses of the Company other than the Business Combination Expenses through the closing of a Business Combination when and as needed in order for the Company to continue in operation (the “Non-Business Combination Related Expenses”). Upon consummation of a Business Combination, up to $200,000 of the Non-Business Combination Related Expenses will be repaid by the Company to the Sponsor provided that the Company has funds available to it sufficient to repay such expenses (the “Cap”) as well as to pay for all stockholder redemptions, all Business Combination Expenses, repayment of the Extension Notes, and any funds necessary for the working capital requirements of the Company following closing of the Business Combination. Any remaining amounts in excess of the Cap will be forgiven. On December 31, 2019, the Company issued an unsecured promissory note to the Sponsor, as amended on March 31, 2020 and on June 30, 2020, in the original principal amount of $685,476 to pay for Non-Business Combination Related Expenses. Of the amount loaned to the Company, $117,334 was used in order to pay for part of the extension payments in connection with the Extension to November 22, 2019. If the Company does not consummate a Business Combination, all outstanding loans made by the Sponsor to cover the Non-Business Combination Related Expenses will be forgiven, except as set forth above.</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2019, in connection with the stockholders’ approval of the extended date of March 23, 2020, AZ Property Partners loaned the Company an additional $30,143 to pay for part of the extension through December 2019. In January and February 2020, AZ Property Partners loaned the Company an aggregate additional amount of $90,427 to pay for part of the extension through March 23, 2020.</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April and June 2020, in connection with the stockholders’ approval of the Extended Date of July 23, 2020, AZ Property Partners loaned the Company an additional aggregate amount of $17,429 to pay for part of the extension through June 23, 2020. In July 2020, AZ Property Partners loaned the Company an additional $5,805 to pay for part of the extension through July 23, 2020.</w:t>
      </w:r>
    </w:p>
    <w:p>
      <w:pPr>
        <w:spacing w:after="0" w:line="19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Through June 30, 2020, AZ Partners loaned the Company an aggregate amount of $430,143, of which $161,478 was loaned during the six months ended June 30, 2020, to pay for Non-Business Combination Related Expenses.</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July 2020, in connection with the stockholders’ approval of the Extended Date of December 23, 2020, AZ Property Partners loaned the Company an additional $5,527 to pay for part of the extension through August 23, 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the outstanding balance under promissory note with AZ Partners amounted to $685,476.</w:t>
      </w:r>
    </w:p>
    <w:p>
      <w:pPr>
        <w:spacing w:after="0" w:line="219" w:lineRule="exact"/>
        <w:rPr>
          <w:sz w:val="20"/>
          <w:szCs w:val="20"/>
          <w:color w:val="auto"/>
        </w:rPr>
      </w:pPr>
    </w:p>
    <w:p>
      <w:pPr>
        <w:ind w:right="7700" w:firstLine="8"/>
        <w:spacing w:after="0" w:line="504" w:lineRule="auto"/>
        <w:tabs>
          <w:tab w:leader="none" w:pos="17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Forgiveness of Debt</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six months ended June 30, 2020, one of the Company’s service providers forgave certain amounts due to them in connection with previously provided services. As a result, the Company recorded a forgiveness of debt in the amount of $352,071.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Pursuant to a registration rights agreement entered into on November 20, 2017, the holders of the Company’s common stock prior to the Initial Public Offering (the “Founder Shares”), Private Placement Units (and their underlying securities), the shares issued to EarlyBirdCapital at the closing of the Initial Public Offering (the “Representative Shares”) and any Units that may be issued upon conversion of the working capital loans (and their underlying securities) are entitled to registration rights. The holders of a majority of these securities are entitled to make up to three demands, excluding short form demands, that the Company register such securities. The holders of the majority of the Founder’s Shares can elect to exercise these registration rights at any time commencing three months prior to the date on which these shares of common stock are to be released from escrow. The holders of a majority of the Private Placement Units or Units issued to the Sponsor, officers, directors or their affiliates in payment of working capital loans made to the Company (in each case, including the underlying securities) can elect to exercise these registration rights at any time after the Company consummates a Business Combination. In addition, the holders will have certain “piggy-back” registration rights with respect to registration statements filed subsequent to the completion of a Business Combination and rights to require the Company to register for resale such securities pursuant to Rule 415 under the Securities Act of 1933, as amended (the “Securities Act”). Notwithstanding anything to the contrary, EarlyBirdCapital and its designees may participate in a “piggy-back” registration during the seven-year period beginning on the effective date of the registration statement. However, the registration rights agreement will provide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engaged EarlyBirdCapital as an advisor in connection with a Business Combination to assist the Company in holding meetings with its stockholders to discuss a potential Business Combination and the target business’ attributes, introduce the Company to potential investors that are interested in purchasing securities, assist the Company in obtaining stockholder approval for the Business Combination and assist the Company with its press releases and public filings in connection with a Business Combination. The Company will pay EarlyBirdCapital a cash fee for such services upon the consummation of a Business Combination in an amount equal to 4.0% of the gross proceeds of the Initial Public Offering (exclusive of any applicable finders’ fees which might become payable). If a Business Combination is not consummated for any reason, no fee will be due or payable.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Preferred Stock </w:t>
      </w:r>
      <w:r>
        <w:rPr>
          <w:rFonts w:ascii="Arial" w:cs="Arial" w:eastAsia="Arial" w:hAnsi="Arial"/>
          <w:sz w:val="18"/>
          <w:szCs w:val="18"/>
          <w:color w:val="auto"/>
        </w:rPr>
        <w:t>— The Company is authorized to issue 1,000,000 shares of preferred stock with a par value of $0.001 per share with such designation,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and preferences as may be determined from time to time by the Company’s Board of Directors. At June 30, 2020 and December 31, 2019, there were no shares of preferred stock issued or outstanding.</w:t>
      </w:r>
    </w:p>
    <w:p>
      <w:pPr>
        <w:spacing w:after="0" w:line="186"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 xml:space="preserve">Common Stock </w:t>
      </w:r>
      <w:r>
        <w:rPr>
          <w:rFonts w:ascii="Arial" w:cs="Arial" w:eastAsia="Arial" w:hAnsi="Arial"/>
          <w:sz w:val="16"/>
          <w:szCs w:val="16"/>
          <w:color w:val="auto"/>
        </w:rPr>
        <w:t>— The Company is authorized to issue 100,000,000 shares of common stock with a par value of $0.001 per share. Holders of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are entitled to one vote for each share. At June 30, 2020 and December 31, 2019, there were 2,716,028 and 2,844,414 shares of common stock issued and outstanding, respectively (excluding -0- and 2,305,335 shares of common stock subject to possible redemption, respectively).</w:t>
      </w:r>
    </w:p>
    <w:p>
      <w:pPr>
        <w:spacing w:after="0" w:line="15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 xml:space="preserve">Rights </w:t>
      </w:r>
      <w:r>
        <w:rPr>
          <w:rFonts w:ascii="Arial" w:cs="Arial" w:eastAsia="Arial" w:hAnsi="Arial"/>
          <w:sz w:val="16"/>
          <w:szCs w:val="16"/>
          <w:color w:val="auto"/>
        </w:rPr>
        <w:t>— Each holder of a right will receive one-tenth (1/10) of one share of common stock upon consummation of a Business Combination, even if the holder</w:t>
      </w:r>
      <w:r>
        <w:rPr>
          <w:rFonts w:ascii="Arial" w:cs="Arial" w:eastAsia="Arial" w:hAnsi="Arial"/>
          <w:sz w:val="16"/>
          <w:szCs w:val="16"/>
          <w:b w:val="1"/>
          <w:bCs w:val="1"/>
          <w:color w:val="auto"/>
        </w:rPr>
        <w:t xml:space="preserve"> </w:t>
      </w:r>
      <w:r>
        <w:rPr>
          <w:rFonts w:ascii="Arial" w:cs="Arial" w:eastAsia="Arial" w:hAnsi="Arial"/>
          <w:sz w:val="16"/>
          <w:szCs w:val="16"/>
          <w:color w:val="auto"/>
        </w:rPr>
        <w:t>of such right redeemed all shares held by it in connection with a Business Combination. No fractional shares will be issued upon conversion of the rights. No additional consideration will be required to be paid by a holder of rights in order to receive its additional shares upon consummation of a Business Combination, as the consideration related thereto has been included in the Unit purchase price paid for by investors in the Initial Public Offering. If the Company enters into a definitive agreement for a Business Combination in which the Company will not be the surviving entity, the definitive agreement will provide for the holders of rights to receive the same per share consideration the holders of the common stock will receive in the transaction on an as-converted into common stock basis and each holder of a right will be required to affirmatively convert its rights in order to receive 1/10 share underlying each right (without paying additional consideration). The shares issuable upon conversion of the rights will be freely tradable (except to the extent held by affiliates of the Company).</w:t>
      </w:r>
    </w:p>
    <w:p>
      <w:pPr>
        <w:spacing w:after="0" w:line="17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If the Company is unable to complete a Business Combination within the Combination Period and the Company liquidates the funds held in the Trust Account, holders of rights will not receive any of such funds with respect to their rights, nor will they receive any distribution from the Company’s assets held outside of the Trust Account with respect to such rights, and the rights will expire worthless. Further, there are no contractual penalties for failure to deliver securities to the holders of the rights upon consummation of a Business Combination. Additionally, in no event will the Company be required to net cash settle the rights. Accordingly, holders of the rights might not receive the shares of common stock underlying the rights.</w:t>
      </w:r>
    </w:p>
    <w:p>
      <w:pPr>
        <w:spacing w:after="0" w:line="16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Warrants </w:t>
      </w:r>
      <w:r>
        <w:rPr>
          <w:rFonts w:ascii="Arial" w:cs="Arial" w:eastAsia="Arial" w:hAnsi="Arial"/>
          <w:sz w:val="16"/>
          <w:szCs w:val="16"/>
          <w:color w:val="auto"/>
        </w:rPr>
        <w:t>— Public Warrants may only be exercised for a whole number of shares. No fractional shares will be issued upon exercise of the Public Warrants.</w:t>
      </w:r>
      <w:r>
        <w:rPr>
          <w:rFonts w:ascii="Arial" w:cs="Arial" w:eastAsia="Arial" w:hAnsi="Arial"/>
          <w:sz w:val="16"/>
          <w:szCs w:val="16"/>
          <w:b w:val="1"/>
          <w:bCs w:val="1"/>
          <w:color w:val="auto"/>
        </w:rPr>
        <w:t xml:space="preserve"> </w:t>
      </w:r>
      <w:r>
        <w:rPr>
          <w:rFonts w:ascii="Arial" w:cs="Arial" w:eastAsia="Arial" w:hAnsi="Arial"/>
          <w:sz w:val="16"/>
          <w:szCs w:val="16"/>
          <w:color w:val="auto"/>
        </w:rPr>
        <w:t>The Public Warrants will become exercisable on the later of the completion of a Business Combination and November 22, 2018; provided in that the Company has an effective registration statement under the Securities Act covering the shares of common stock issuable upon exercise of the Public Warrants and a current prospectus relating to them is available. The Company has agreed that as soon as practicable, the Company will use its best efforts to file with the SEC a registration statement for the registration, under the Securities Act, of the shares of common stock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Notwithstanding the foregoing, if a registration statement covering the shares of common stock issuable upon exercise of the Public Warrants is not effective 90 days following the consummation of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The Public Warrants will expire five years after the completion of a Business Combination or earlier upon redemption or liquidation.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redeem the Public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whole and not in part;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a price of $0.01 per warrant;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 any time during the exercise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●upon a minimum of 30 days’ prior written notice of redemption; and</w:t>
      </w:r>
    </w:p>
    <w:p>
      <w:pPr>
        <w:spacing w:after="0" w:line="225" w:lineRule="exact"/>
        <w:rPr>
          <w:sz w:val="20"/>
          <w:szCs w:val="20"/>
          <w:color w:val="auto"/>
        </w:rPr>
      </w:pPr>
    </w:p>
    <w:p>
      <w:pPr>
        <w:jc w:val="both"/>
        <w:ind w:left="120" w:hanging="120"/>
        <w:spacing w:after="0" w:line="331" w:lineRule="auto"/>
        <w:rPr>
          <w:sz w:val="20"/>
          <w:szCs w:val="20"/>
          <w:color w:val="auto"/>
        </w:rPr>
      </w:pPr>
      <w:r>
        <w:rPr>
          <w:rFonts w:ascii="Arial" w:cs="Arial" w:eastAsia="Arial" w:hAnsi="Arial"/>
          <w:sz w:val="16"/>
          <w:szCs w:val="16"/>
          <w:color w:val="auto"/>
        </w:rPr>
        <w:t>●if, and only if, the last sale price of the Company’s common stock equals or exceeds $21.00 per share for any 20 trading days within a 30-trading day period ending on the third business day prior to the date on which the Company sends the notice of redemption to the warrant holders.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●If, and only if, there is a current registration statement in effect with respect to the shares of common stock underlying such warrants.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 Shares</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At the closing of the Initial Public Offering, the Company issued EarlyBirdCapital and its designees 120,000 Representative Shares. On November 29, 2017, the Company issued an additional 18,000 Representative Shares for no consideration. The Company accounted for the Representative Shares as an expense of the Initial Public Offering resulting in a charge directly to stockholders’ equity. The Company determined the fair value of Representative Shares to be $1,380,000 based upon the offering price of the Units of $10.00 per Unit. The underwriter has agreed not to transfer, assign or sell any such shares until the completion of a Business Combination. In addition, the underwriter and its designees have agreed (i) to waive their redemption rights with respect to such shares in connection with the completion of a Business Combination and (ii) to waive their rights to liquidating distributions from the Trust Account with respect to such shares if the Company fails to complete a Business Combination within the Combination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Purchase Option</w:t>
      </w:r>
    </w:p>
    <w:p>
      <w:pPr>
        <w:spacing w:after="0" w:line="23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November 22, 2017, the Company sold to EarlyBirdCapital, for $100, an option to purchase up to 600,000 Units exercisable at $10.00 per Unit (or an aggregate exercise price of $6,000,000) commencing on the later of November 20, 2018 or the consummation of a Business Combination. The unit purchase option may be exercised for cash or on a cashless basis, at the holder’s option, and expires five years from November 20, 2017. The Units issuable upon exercise of this option are identical to those offered in the Initial Public Offering. The Company accounted for the unit purchase option, inclusive of the receipt of $100 cash payment, as an expense of the Initial Public Offering resulting in a charge directly to stockholders’ equity. The Company estimated the fair value of this unit purchase option to be $2,042,889 (or $3.40 per Unit) using the Black-Scholes option-pricing model. The fair value of the unit purchase option granted to the underwriters was estimated as of the date of grant using the following assumptions: (1) expected volatility of 35%, (2) risk-free interest rate of 2.05% and (3) expected life of five years. The option and such units purchased pursuant to the option, as well as the common stock underlying such units, the rights included in such units, the common stock that is issuable for the rights included in such units, the warrants included in such units, and the shares underlying such warrants, have been deemed compensation by FINRA and are therefore subject to a 180-day lock-up pursuant to Rule 5110(g)(1) of FINRA’s NASDAQ Conduct Rules. Additionally, the option may not be sold, transferred, assigned, pledged or hypothecated for a one-year period (including the foregoing 180-day period) following the date of Initial Public Offering except to any underwriter and selected dealer participating in the Initial Public Offering and their bona fide officers or partners. The option grants to holders demand and “piggy back” rights for periods of five and seven years, respectively, from the effective date of the registration statement with respect to the registration under the Securities Act of the securities directly and indirectly issuable upon exercise of the option. The Company will bear all fees and expenses attendant to registering the securities, other than underwriting commissions which will be paid for by the holders themselves. The exercise price and number of units issuable upon exercise of the option may be adjusted in certain circumstances including in the event of a stock dividend, or the Company’s recapitalization, reorganization, merger or consolidation. However, the option will not be adjusted for issuances of common stock at a price below its exercise price.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based on our assessment of the assumptions that market participants would use in pricing the asset or liability.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3" w:right="339" w:bottom="1112"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presents information about the Company’s assets that are measured at fair value on a recurring basis at June 30, 2020 and December 31, 2019, and indicates the fair value hierarchy of the valuation inputs the Company utilized to determine such fair value:</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5"/>
                <w:szCs w:val="15"/>
                <w:b w:val="1"/>
                <w:bCs w:val="1"/>
                <w:color w:val="auto"/>
                <w:w w:val="89"/>
              </w:rPr>
              <w:t>June 30,</w:t>
            </w:r>
          </w:p>
        </w:tc>
        <w:tc>
          <w:tcPr>
            <w:tcW w:w="28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5"/>
                <w:szCs w:val="15"/>
                <w:b w:val="1"/>
                <w:bCs w:val="1"/>
                <w:color w:val="auto"/>
              </w:rPr>
              <w:t>December 31,</w:t>
            </w:r>
          </w:p>
        </w:tc>
      </w:tr>
      <w:tr>
        <w:trPr>
          <w:trHeight w:val="182"/>
        </w:trPr>
        <w:tc>
          <w:tcPr>
            <w:tcW w:w="7200" w:type="dxa"/>
            <w:vAlign w:val="bottom"/>
          </w:tcPr>
          <w:p>
            <w:pPr>
              <w:spacing w:after="0"/>
              <w:rPr>
                <w:sz w:val="20"/>
                <w:szCs w:val="20"/>
                <w:color w:val="auto"/>
              </w:rPr>
            </w:pPr>
            <w:r>
              <w:rPr>
                <w:rFonts w:ascii="Arial" w:cs="Arial" w:eastAsia="Arial" w:hAnsi="Arial"/>
                <w:sz w:val="15"/>
                <w:szCs w:val="15"/>
                <w:b w:val="1"/>
                <w:bCs w:val="1"/>
                <w:color w:val="auto"/>
              </w:rPr>
              <w:t>Description</w:t>
            </w:r>
          </w:p>
        </w:tc>
        <w:tc>
          <w:tcPr>
            <w:tcW w:w="140" w:type="dxa"/>
            <w:vAlign w:val="bottom"/>
          </w:tcPr>
          <w:p>
            <w:pPr>
              <w:spacing w:after="0"/>
              <w:rPr>
                <w:sz w:val="15"/>
                <w:szCs w:val="15"/>
                <w:color w:val="auto"/>
              </w:rPr>
            </w:pPr>
          </w:p>
        </w:tc>
        <w:tc>
          <w:tcPr>
            <w:tcW w:w="1080" w:type="dxa"/>
            <w:vAlign w:val="bottom"/>
          </w:tcPr>
          <w:p>
            <w:pPr>
              <w:jc w:val="right"/>
              <w:ind w:right="286"/>
              <w:spacing w:after="0"/>
              <w:rPr>
                <w:sz w:val="20"/>
                <w:szCs w:val="20"/>
                <w:color w:val="auto"/>
              </w:rPr>
            </w:pPr>
            <w:r>
              <w:rPr>
                <w:rFonts w:ascii="Arial" w:cs="Arial" w:eastAsia="Arial" w:hAnsi="Arial"/>
                <w:sz w:val="15"/>
                <w:szCs w:val="15"/>
                <w:b w:val="1"/>
                <w:bCs w:val="1"/>
                <w:color w:val="auto"/>
              </w:rPr>
              <w:t>Level</w:t>
            </w:r>
          </w:p>
        </w:tc>
        <w:tc>
          <w:tcPr>
            <w:tcW w:w="1340" w:type="dxa"/>
            <w:vAlign w:val="bottom"/>
            <w:gridSpan w:val="2"/>
          </w:tcPr>
          <w:p>
            <w:pPr>
              <w:jc w:val="center"/>
              <w:ind w:left="189"/>
              <w:spacing w:after="0"/>
              <w:rPr>
                <w:sz w:val="20"/>
                <w:szCs w:val="20"/>
                <w:color w:val="auto"/>
              </w:rPr>
            </w:pPr>
            <w:r>
              <w:rPr>
                <w:rFonts w:ascii="Arial" w:cs="Arial" w:eastAsia="Arial" w:hAnsi="Arial"/>
                <w:sz w:val="15"/>
                <w:szCs w:val="15"/>
                <w:b w:val="1"/>
                <w:bCs w:val="1"/>
                <w:color w:val="auto"/>
                <w:w w:val="89"/>
              </w:rPr>
              <w:t>2020</w:t>
            </w:r>
          </w:p>
        </w:tc>
        <w:tc>
          <w:tcPr>
            <w:tcW w:w="1340" w:type="dxa"/>
            <w:vAlign w:val="bottom"/>
            <w:gridSpan w:val="2"/>
          </w:tcPr>
          <w:p>
            <w:pPr>
              <w:jc w:val="right"/>
              <w:ind w:right="306"/>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5"/>
                <w:szCs w:val="15"/>
                <w:color w:val="auto"/>
              </w:rPr>
            </w:pPr>
          </w:p>
        </w:tc>
      </w:tr>
      <w:tr>
        <w:trPr>
          <w:trHeight w:val="242"/>
        </w:trPr>
        <w:tc>
          <w:tcPr>
            <w:tcW w:w="7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44"/>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held in Trust Account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340" w:type="dxa"/>
            <w:vAlign w:val="bottom"/>
            <w:gridSpan w:val="2"/>
            <w:shd w:val="clear" w:color="auto" w:fill="CCEEFF"/>
          </w:tcPr>
          <w:p>
            <w:pPr>
              <w:jc w:val="center"/>
              <w:ind w:left="169"/>
              <w:spacing w:after="0" w:line="244" w:lineRule="exact"/>
              <w:rPr>
                <w:sz w:val="20"/>
                <w:szCs w:val="20"/>
                <w:color w:val="auto"/>
              </w:rPr>
            </w:pPr>
            <w:r>
              <w:rPr>
                <w:rFonts w:ascii="Arial" w:cs="Arial" w:eastAsia="Arial" w:hAnsi="Arial"/>
                <w:sz w:val="22"/>
                <w:szCs w:val="22"/>
                <w:color w:val="auto"/>
                <w:w w:val="92"/>
              </w:rPr>
              <w:t>$ 6,240,245</w:t>
            </w:r>
          </w:p>
        </w:tc>
        <w:tc>
          <w:tcPr>
            <w:tcW w:w="1480" w:type="dxa"/>
            <w:vAlign w:val="bottom"/>
            <w:gridSpan w:val="3"/>
            <w:shd w:val="clear" w:color="auto" w:fill="CCEEFF"/>
          </w:tcPr>
          <w:p>
            <w:pPr>
              <w:jc w:val="right"/>
              <w:ind w:right="140"/>
              <w:spacing w:after="0" w:line="244" w:lineRule="exact"/>
              <w:rPr>
                <w:sz w:val="20"/>
                <w:szCs w:val="20"/>
                <w:color w:val="auto"/>
              </w:rPr>
            </w:pPr>
            <w:r>
              <w:rPr>
                <w:rFonts w:ascii="Arial" w:cs="Arial" w:eastAsia="Arial" w:hAnsi="Arial"/>
                <w:sz w:val="22"/>
                <w:szCs w:val="22"/>
                <w:color w:val="auto"/>
              </w:rPr>
              <w:t>$32,005,205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evaluates subsequent events and transactions that occur after the balance sheet date up to the date that the condensed financial statements were issued. Other than as described in the notes to these financial statements, the Company did not identify any subsequent events that would have required adjustment or disclosure in the condensed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References in this report to “we,” “us” or the “Company” refer to Big Rock Partners Acquisition Corp. References to our “management” or our “management team” refer to our officers and directors, and references to the “Sponsor” refer to Big Rock Partners Sponsor, LLC, a company affiliated with our Chairman, President and Chief Executive Officer. The following discussion and analysis of the Company’s financial condition and results of operations should be read in conjunction with the financial statements and the notes thereto contained elsewhere in this report. Certain information contained in the discussion and analysis set forth below includes forward-looking statements that involve risks and uncertainties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Quarterly Report on Form 10-Q includes “forward-looking statements” within the meaning of Section 27A of the Securities Act and Section 21E of the Exchange Act that are not historical facts, and involve risks and uncertainties that could cause actual results to differ materially from those expected and projected. All statements other than statements of historical fact included in this Form 10-Q including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including the extent to which the COVID-19 pandemic impacts our search for a business combination and our ability to complete a business combination. For information identifying important factors that could cause actual results to differ materially from those anticipated in the forward-looking statements, please refer to the Risk Factors section of the Company’s Annual Report on Form 10-K for the year ending December 31, 2019 filed with the SEC on March 30, 2020.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blank check company incorporated in Delaware on September 18, 2017 and formed for the purpose of entering into a merger, share exchange, asset acquisition, stock purchase, recapitalization, reorganization or other similar business combination with one or more target businesses or entities (a “Business Combination”). Our efforts in identifying a prospective target business for our initial Business Combination are not limited to a particular industry or geographic region. We intend to effectuate our Business Combination using cash from the proceeds of our Initial Public Offering and the sale of Private Placement Units that occurred simultaneously with the completion of our Initial Public Offering, our securities, debt or a combination of cash, securities and debt.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Extensions to Complete Business Combination</w:t>
      </w:r>
    </w:p>
    <w:p>
      <w:pPr>
        <w:spacing w:after="0" w:line="200" w:lineRule="exact"/>
        <w:rPr>
          <w:sz w:val="20"/>
          <w:szCs w:val="20"/>
          <w:color w:val="auto"/>
        </w:rPr>
      </w:pPr>
    </w:p>
    <w:p>
      <w:pPr>
        <w:spacing w:after="0" w:line="2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March 23, 2020, our stockholders approved an amendment to our Amended and Restated Certificate of Incorporation to extend the period of time for which we are required to consummate a Business Combination from March 23, 2020 to July 23, 2020. The number of shares of common stock presented for redemption in connection with this extension was 2,433,721. We paid cash in the aggregate amount of $25,997,965, or approximately $10.68 per share, to the redeeming stockholders. We agreed to deposit, or cause to be deposited on our behalf, into the Trust Account $0.02 for each public share outstanding for each 30-day extension period utilized through July 23, 2020. Notwithstanding the foregoing, if the volume weighted average price of the Company's common stock during the 10-day trading period ending on the 3rd day prior to the end of any applicable monthly period is equal to or greater than $11.00 and the trading volume during the 10-day trading period exceeds 100,000 shares, the obligation to make any particular deposit would terminate with respect to the immediately following monthly period (but not with respect to any other future monthly period). In connection with this extension, through June 30, 2020, we deposited an aggregate of $34,858 into the Trust Account to fund the extension through June 23, 2020, which amounts were loaned to us by A/Z Property and Investor. In July 2020, AZ Property Partners and Investors loaned the Company an additional $11,610 to pay for the extension through July 23, 2020.</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July 23, 2020, our stockholders approved an amendment to the Amended and Restated Certificate of Incorporation to extend the period of time for which we are required to consummate a Business Combination (the “Fourth Extension”) from July 23, 2020 to December 23, 2020 (the “Extended Date”). The number of shares of common stock presented for redemption in connection with the Fourth Extension was 27,786. We paid cash in amount of approximately $299,000, or approximately $10.77 per share, to redeeming stockholders. We agreed to deposit, or cause to be deposited on its behalf, into the Trust Account $0.02 for each public share outstanding for each 30-day extension period utilized through the Fourth Extension. In July 2020, in connection with this extension, we deposited an aggregate of $11,054 into the Trust Account to fund the first thirty-day extension through August 23, 2020. Notwithstanding the foregoing, if the volume weighted average price of the Company's common stock during the 10-day trading period ending on the 3rd day prior to the end of any applicable monthly period is equal to or greater than $11.00 and the trading volume during the 10-day trading period exceeds 100,000 shares, the obligation to make any particular deposit would terminate with respect to the immediately following monthly period (but not with respect to any other future monthly period).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August 9, 2019, we received a notice from the Staff stating that we were no longer in compliance with Nasdaq Listing Rule 5550(a)(3) for continued listing due to its failure to maintain a minimum of 300 public holders (the “Rule”). We had until September 23, 2019 to provide Nasdaq with a specific plan to achieve and sustain compliance with the listing requirement. The notice is a notification of deficiency, not of imminent delisting, and has no current effect on the listing or trading of our securities on Nasdaq.</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September 23, 2019 and October 28, 2019, we submitted a plan to regain compliance with Nasdaq and requested an extension through February 5, 2020. On October 28, 2019, Nasdaq requested additional information regarding our compliance plan, to which we responded on November 8, 2019. On February 11, 2020, we received a notice from the Staff stating that, based upon our non-compliance with the Rule, the Staff had determined to delist our common stock from Nasdaq unless we timely request a hearing before the Nasdaq Hearings Panel (the “Panel“). We were also notified that as a result of Nasdaq’s determination to delist our common stock, our warrants and rights no longer comply with Nasdaq Listing Rule 5560(a), which requires the underlying securities of such exercisable securities to remain listed on Nasdaq, and our Units no longer comply with Nasdaq Listing Rule 5225(b)(1)(A), which requires all component parts of units to meet the requirements for initial and continued listing, and our units, warrants and rights are now subject to delisting. We requested a hearing, which request automatically stayed any further action by the Staff pending the ultimate conclusion of the hearing process.</w:t>
      </w:r>
    </w:p>
    <w:p>
      <w:pPr>
        <w:sectPr>
          <w:pgSz w:w="11900" w:h="16838" w:orient="portrait"/>
          <w:cols w:equalWidth="0" w:num="1">
            <w:col w:w="11240"/>
          </w:cols>
          <w:pgMar w:left="320" w:top="557" w:right="339" w:bottom="0" w:gutter="0" w:footer="0" w:header="0"/>
        </w:sectPr>
      </w:pPr>
    </w:p>
    <w:bookmarkStart w:id="21" w:name="page22"/>
    <w:bookmarkEnd w:id="21"/>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25400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509" w:right="1440" w:bottom="1440" w:gutter="0" w:footer="0" w:header="0"/>
        </w:sectPr>
      </w:pPr>
    </w:p>
    <w:bookmarkStart w:id="22" w:name="page23"/>
    <w:bookmarkEnd w:id="22"/>
    <w:p>
      <w:pPr>
        <w:jc w:val="both"/>
        <w:spacing w:after="0" w:line="254" w:lineRule="auto"/>
        <w:rPr>
          <w:sz w:val="20"/>
          <w:szCs w:val="20"/>
          <w:color w:val="auto"/>
        </w:rPr>
      </w:pPr>
      <w:r>
        <w:rPr>
          <w:rFonts w:ascii="Arial" w:cs="Arial" w:eastAsia="Arial" w:hAnsi="Arial"/>
          <w:sz w:val="18"/>
          <w:szCs w:val="18"/>
          <w:color w:val="auto"/>
        </w:rPr>
        <w:t>On March 25, 2020, we received formal notice from Nasdaq indicating that the Panel the Staff had granted our request for continued listing on Nasdaq. The decision follows our hearing before the Panel, which took place on March 19, 2020. Our continued listing is subject to the satisfaction of a number of conditions, including, ultimately, completion of a business combination with an operating company by no later than August 10, 2020, and the combined entity’s compliance with all applicable criteria for initial listing on Nasdaq at the time of the merger. We failed to meet certain of the conditions contained in the extension grant and have submitted a modified extension request to the Staff.</w:t>
      </w:r>
    </w:p>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10, 2020, we submitted a letter to Nasdaq indicating that we were in compliance with the Rule as of July 31, 2020 and, as a result, satisfied the minimum 300 public holder requirement and all other applicable criteria for continued listing on Nasdaq. Accordingly, we requested that the Staff render a formal determination to continue the listing of our securities. On August 11, 2020, the Company received a formal notice from Nasdaq notifying the Company that it regained compliance with the minimum 300 public holder requirement under Nasdaq rules and that the Panel had determined to continue the listing of the Company's securities on Nasdaq and close the matter.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entire activity since September 18, 2017 (inception) up to November 20, 2017 was in preparation for our Initial Public Offering. Since our Initial Public Offering, our activity has been limited to the search for a prospective initial Business Combination, and we will not be generating any operating revenues until the closing and completion of our initial Business Combination. We are incurring expenses as a result of being a public company (for legal, financial reporting, accounting and auditing compliance), as well as for due diligence expenses.</w:t>
      </w:r>
    </w:p>
    <w:p>
      <w:pPr>
        <w:spacing w:after="0" w:line="197" w:lineRule="exact"/>
        <w:rPr>
          <w:sz w:val="20"/>
          <w:szCs w:val="20"/>
          <w:color w:val="auto"/>
        </w:rPr>
      </w:pPr>
    </w:p>
    <w:p>
      <w:pPr>
        <w:jc w:val="both"/>
        <w:ind w:right="20"/>
        <w:spacing w:after="0" w:line="331" w:lineRule="auto"/>
        <w:rPr>
          <w:sz w:val="20"/>
          <w:szCs w:val="20"/>
          <w:color w:val="auto"/>
        </w:rPr>
      </w:pPr>
      <w:r>
        <w:rPr>
          <w:rFonts w:ascii="Arial" w:cs="Arial" w:eastAsia="Arial" w:hAnsi="Arial"/>
          <w:sz w:val="16"/>
          <w:szCs w:val="16"/>
          <w:color w:val="auto"/>
        </w:rPr>
        <w:t>For the three months ended June 30, 2020, we had a net loss of $149,501, which consists of operating expenses of $181,259, offset by interest income on securities held in the trust account established for the benefit of our public stockholders (the “Trust Account”) of $25,017 and an income tax benefit of $6,741.</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six months ended June 30, 2020, we had net income of $123,719, which consists of the forgiveness of previously recorded professional fees of $352,071 and interest income on securities held in the Trust Account of $138,094, offset by operating expenses of $300,559 and a provision for income taxes of $65,887.</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months ended June 30, 2019, we had a net income of $176,021, which consists of interest income on securities held in the Trust Account of $392,439, offset by operating expenses of $175,742 and provision for income taxes of $40,676.</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For the six months ended June 30, 2019, we had a net income of $363,986, which consists of interest income on securities held in the Trust Account of $775,301, offset by operating expenses of $338,923 and provision for income taxes of $72,392.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June 30, 2020, we had cash and marketable securities held in the Trust Account of $6,240,245 (including approximately $168,000 of interest income) consisting of money market funds. Interest income earned on the balance in the Trust Account may be used by us to pay taxes. To date, we have withdrawn approximately $676,000 of interest from the Trust Account in order to pay our income and franchise taxes, of which approximately $121,000 was withdrawn during the six months ended June 30, 2020.</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six months ended June 30, 2020, cash used in operating activities amounted to $306,891. Net income of $123,719 was the result of the forgiveness of previously recorded professional fees in the amount of $352,071 and interest earned on securities held in the Trust Account of $138,094 and changes in operating assets and liabilities, which provided $59,555 of cash for operating activities.</w:t>
      </w:r>
    </w:p>
    <w:p>
      <w:pPr>
        <w:spacing w:after="0" w:line="194" w:lineRule="exact"/>
        <w:rPr>
          <w:sz w:val="20"/>
          <w:szCs w:val="20"/>
          <w:color w:val="auto"/>
        </w:rPr>
      </w:pPr>
    </w:p>
    <w:p>
      <w:pPr>
        <w:jc w:val="both"/>
        <w:ind w:right="20"/>
        <w:spacing w:after="0" w:line="331" w:lineRule="auto"/>
        <w:rPr>
          <w:sz w:val="20"/>
          <w:szCs w:val="20"/>
          <w:color w:val="auto"/>
        </w:rPr>
      </w:pPr>
      <w:r>
        <w:rPr>
          <w:rFonts w:ascii="Arial" w:cs="Arial" w:eastAsia="Arial" w:hAnsi="Arial"/>
          <w:sz w:val="16"/>
          <w:szCs w:val="16"/>
          <w:color w:val="auto"/>
        </w:rPr>
        <w:t>For the six months ended June 30, 2019, cash used in operating activities amounted to $478,343. Net income of $363,986 was the result of interest earned on securities held in the Trust Account of $775,301, offset by changes in operating assets and liabilities, which used $67,028 of cash for operating activities.</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intend to use substantially all of the net proceeds of the Initial Public Offering, including the funds held in the Trust Account, to acquire a target business or businesses and to pay our expenses relating thereto. To the extent that our capital stock is used, in whole or in part, as consideration to effect our Business Combination, the remaining proceeds held in the Trust Account, as well as any other net proceeds not expended, will be used as working capital to finance the operations of the target business. Such working capital funds could be used in a variety of ways including, but not limited to, continuing or expanding the target business’ operations, for strategic acquisitions and for marketing, research and development of existing or new products. Such funds could also be used to repay any expenses or finders’ fees which we had incurred prior to the completion of our Business Combination if the funds available to us outside of the Trust Account were insufficient to cover such expenses.</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June 30, 2020, A/Z Property has loaned us an aggregate of $685,476 in order to pay our Non-Business Combination Related Expenses and extension payments. Upon consummation of a Business Combination, up to $200,000 of the Non-Business Combination Related Expenses may repaid by us to the Sponsor provided that we have funds available to us sufficient to repay such expenses (the “Cap”) as well as to pay for all stockholder redemptions, all Business Combination Expenses, repayment of the Notes, and any funds necessary for our working capital requirements following closing of the Business Combination. Any remaining amounts in excess of the Cap will be forgiven. If we do not consummate a Business Combination, all outstanding loans made by the Sponsor to cover the Non-Business Combination Related Expenses will be forgiven.</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As of June 30, 2020, the Investor has loaned us an aggregate of $1,668,091 in order to fund a portion of the extension payments.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do not believe we will need to raise additional funds in order to meet expenditures required for operating our business. However, if our estimate of the costs of identifying a target business, undertaking in-depth due diligence and negotiating a Business Combination are less than the actual amounts necessary to do so, we may have insufficient funds available to operate our business prior to our Business Combination. In order to fund working capital deficiencies or finance transaction costs in connection with a Business Combination, our Sponsor, officers and directors or their respective affiliates may, but are not obligated to, except as described above, loan us funds as may be required. If we complete a Business Combination, we may repay such loaned amounts out of the proceeds of the Trust Account released to us.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units, at a price of $10.00 per unit at the option of the lender. The units would be identical to the Private Placement Units.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Moreover, we may need to obtain additional financing either to complete our Business Combination or because we become obligated to redeem a significant number of our public shares upon completion of our Business Combination, in which case we may issue additional securities or incur debt in connection with such Business Combination. Subject to compliance with applicable securities laws, we would only complete such financing simultaneously with the completion of our Business Combination. If we are unable to complete our Business Combination because we do not have sufficient funds available to us, we will be forced to cease operations and liquidate the Trust Account. In addition, following our Business Combination, if cash on hand is insufficient, we may need to obtain additional financing in order to meet our obligations.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off-balance sheet arrangements as of June 30, 2020.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long-term debt, capital lease obligations, operating lease obligations or long-term liabilities.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engaged EarlyBirdCapital as an advisor in connection with a Business Combination to assist us in holding meetings with its stockholders to discuss a potential Business Combination and the target business’ attributes, introduce us to potential investors that are interested in purchasing securities, assist us in obtaining stockholder approval for the Business Combination and assist us with our press releases and public filings in connection with a Business Combination. We will pay EarlyBirdCapital a cash fee for such services upon the consummation of a Business Combination in an amount equal to 4.0% of the gross proceeds of the Initial Public Offering (exclusive of any applicable finders’ fees which might become payable). If a Business Combination is not consummated for any reason, no fee will be due or payable.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preparation of condensed financial statements and related disclosures in conformity with accounting principles generally accepted in the United States of America (“GAAP”)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Subject to Possible Redemption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account for our common stock subject to possible conversion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common stock subject to possible redemption is presented as temporary equity, outside of the stockholders’ equity section of our condensed balance sheets. At June 30, 2020 there are no shares of common stock subject to possible redemption.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Common Share</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apply the two-class method in calculating earnings per share. Common stock subject to possible redemption which is not currently redeemable and is not redeemable at fair value, has been excluded from the calculation of basic net loss per common share since such shares, if redeemed, only participate in their pro rata share of the Trust Account earnings. Our net income is adjusted for the portion of income that is attributable to common stock subject to possible redemption, as these shares only participate in the earnings of the Trust Account and not our income or losses.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Recent Accounting Standards</w:t>
      </w:r>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our condensed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This item is not applicable as we are currently considered a smaller reporting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required by Rules 13a-15 and 15d-15 under the Exchange Act, our management, with the participation of, our Chief Executive Officer and Chief Financial Officer, carried out an evaluation of the effectiveness of the design and operation of our disclosure controls and procedures as of June 30, 2020. Based upon their evaluation, our Chief Executive Officer and Chief Financial Officer concluded that our disclosure controls and procedures (as defined in Rules 13a-15 (e) and 15d-15 (e) under the Exchange Act) were effective as of June 30,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most recently completed fiscal quarter, there has been no change in our internal control over financial reporting that has materially affected, or is reasonably likely to materially affect, our internal control over financial reporting.</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Factors that could cause our actual results to differ materially from those in this report include the risk factors described in our Annual Report on Form 10-K for the year ended December 31, 2019 filed with the SEC on March 30, 2020. As of the date of this Report, other than as described below, there have been no material changes to the risk factors disclosed in our Annual Report filed with the SEC.</w:t>
      </w:r>
    </w:p>
    <w:p>
      <w:pPr>
        <w:spacing w:after="0" w:line="188" w:lineRule="exact"/>
        <w:rPr>
          <w:sz w:val="20"/>
          <w:szCs w:val="20"/>
          <w:color w:val="auto"/>
        </w:rPr>
      </w:pPr>
    </w:p>
    <w:p>
      <w:pPr>
        <w:jc w:val="both"/>
        <w:spacing w:after="0" w:line="339" w:lineRule="auto"/>
        <w:rPr>
          <w:sz w:val="20"/>
          <w:szCs w:val="20"/>
          <w:color w:val="auto"/>
        </w:rPr>
      </w:pPr>
      <w:r>
        <w:rPr>
          <w:rFonts w:ascii="Arial" w:cs="Arial" w:eastAsia="Arial" w:hAnsi="Arial"/>
          <w:sz w:val="16"/>
          <w:szCs w:val="16"/>
          <w:b w:val="1"/>
          <w:bCs w:val="1"/>
          <w:color w:val="auto"/>
        </w:rPr>
        <w:t>The securities in which we invest the funds held in the Trust Account could bear a negative rate of interest, which could reduce the value of the assets held in trust such that the per-share redemption amount received by public stockholders may be less than $10.00 per share.</w:t>
      </w:r>
    </w:p>
    <w:p>
      <w:pPr>
        <w:spacing w:after="0" w:line="13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proceeds held in the Trust Account are invested only in U.S. government treasury obligations with a maturity of 180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Certificate of Incorporation, our public stockholders are entitled to receive their pro-rata share of the proceeds held in the Trust Account, plus any interest income not released to us, net of taxes payable. Negative interest rates could impact the per-share redemption amount that may be received by public stockholders.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July 23, 2020, the Company's stockholders approved to amend its Amended and Restated Certificate of Incorporation to extend the period of time for which the Company is required to consummate a Business Combination to December 23, 2020. The number of shares of common stock presented for redemption in connection with the extension was 27,786. The Company paid cash in the aggregate amount of approximately $299,000, or approximately $10.77 per share, to redeeming stockholders. For additional information, see Note 1 to the condensed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Quarterly Report on Form 10-Q.</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208"/>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1"/>
              </w:rPr>
              <w:t>31.1</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w w:val="89"/>
              </w:rPr>
              <w:t>Certification of Principal Executive Officer Pursuant to Securities Exchange Act Rules 13a-14(a) and 15(d)-14(a), as adopted Pursuant to Section</w:t>
            </w:r>
          </w:p>
        </w:tc>
      </w:tr>
      <w:tr>
        <w:trPr>
          <w:trHeight w:val="224"/>
        </w:trPr>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302 of the Sarbanes-Oxley Act of 2002</w:t>
            </w:r>
          </w:p>
        </w:tc>
      </w:tr>
      <w:tr>
        <w:trPr>
          <w:trHeight w:val="208"/>
        </w:trPr>
        <w:tc>
          <w:tcPr>
            <w:tcW w:w="340" w:type="dxa"/>
            <w:vAlign w:val="bottom"/>
          </w:tcPr>
          <w:p>
            <w:pPr>
              <w:spacing w:after="0"/>
              <w:rPr>
                <w:sz w:val="20"/>
                <w:szCs w:val="20"/>
                <w:color w:val="auto"/>
              </w:rPr>
            </w:pPr>
            <w:r>
              <w:rPr>
                <w:rFonts w:ascii="Arial" w:cs="Arial" w:eastAsia="Arial" w:hAnsi="Arial"/>
                <w:sz w:val="18"/>
                <w:szCs w:val="18"/>
                <w:color w:val="auto"/>
                <w:w w:val="91"/>
              </w:rPr>
              <w:t>31.2</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Certification of Principal Financial Officer Pursuant to Securities Exchange Act Rules 13a-14(a) and 15(d)-14(a), as adopted Pursuant to Section</w:t>
            </w:r>
          </w:p>
        </w:tc>
      </w:tr>
      <w:tr>
        <w:trPr>
          <w:trHeight w:val="223"/>
        </w:trPr>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302 of the Sarbanes-Oxley Act of 2002</w:t>
            </w:r>
          </w:p>
        </w:tc>
      </w:tr>
      <w:tr>
        <w:trPr>
          <w:trHeight w:val="209"/>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1"/>
              </w:rPr>
              <w:t>32.1</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w w:val="89"/>
              </w:rPr>
              <w:t>Certification of Principal Executive Officer Pursuant to 18 U.S.C. Section 1350, as adopted Pursuant to Section 906 of the Sarbanes-Oxley Act of</w:t>
            </w:r>
          </w:p>
        </w:tc>
      </w:tr>
      <w:tr>
        <w:trPr>
          <w:trHeight w:val="224"/>
        </w:trPr>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2002</w:t>
            </w:r>
          </w:p>
        </w:tc>
      </w:tr>
      <w:tr>
        <w:trPr>
          <w:trHeight w:val="208"/>
        </w:trPr>
        <w:tc>
          <w:tcPr>
            <w:tcW w:w="340" w:type="dxa"/>
            <w:vAlign w:val="bottom"/>
          </w:tcPr>
          <w:p>
            <w:pPr>
              <w:spacing w:after="0"/>
              <w:rPr>
                <w:sz w:val="20"/>
                <w:szCs w:val="20"/>
                <w:color w:val="auto"/>
              </w:rPr>
            </w:pPr>
            <w:r>
              <w:rPr>
                <w:rFonts w:ascii="Arial" w:cs="Arial" w:eastAsia="Arial" w:hAnsi="Arial"/>
                <w:sz w:val="18"/>
                <w:szCs w:val="18"/>
                <w:color w:val="auto"/>
                <w:w w:val="91"/>
              </w:rPr>
              <w:t>32.2</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Certification of Principal Financial Officer Pursuant to 18 U.S.C. Section 1350, as adopted Pursuant to Section 906 of the Sarbanes-Oxley Act of</w:t>
            </w:r>
          </w:p>
        </w:tc>
      </w:tr>
      <w:tr>
        <w:trPr>
          <w:trHeight w:val="223"/>
        </w:trPr>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40" w:type="dxa"/>
            <w:vAlign w:val="bottom"/>
            <w:gridSpan w:val="2"/>
          </w:tcPr>
          <w:p>
            <w:pPr>
              <w:ind w:left="100"/>
              <w:spacing w:after="0"/>
              <w:rPr>
                <w:sz w:val="20"/>
                <w:szCs w:val="20"/>
                <w:color w:val="auto"/>
              </w:rPr>
            </w:pPr>
            <w:r>
              <w:rPr>
                <w:rFonts w:ascii="Arial" w:cs="Arial" w:eastAsia="Arial" w:hAnsi="Arial"/>
                <w:sz w:val="18"/>
                <w:szCs w:val="18"/>
                <w:color w:val="auto"/>
              </w:rPr>
              <w:t>2002</w:t>
            </w:r>
          </w:p>
        </w:tc>
      </w:tr>
      <w:tr>
        <w:trPr>
          <w:trHeight w:val="217"/>
        </w:trPr>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0" w:type="dxa"/>
            <w:vAlign w:val="bottom"/>
            <w:shd w:val="clear" w:color="auto" w:fill="CCEEFF"/>
          </w:tcPr>
          <w:p>
            <w:pPr>
              <w:spacing w:after="0"/>
              <w:rPr>
                <w:sz w:val="18"/>
                <w:szCs w:val="18"/>
                <w:color w:val="auto"/>
              </w:rPr>
            </w:pPr>
          </w:p>
        </w:tc>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101.SCH*</w:t>
            </w:r>
          </w:p>
        </w:tc>
        <w:tc>
          <w:tcPr>
            <w:tcW w:w="100" w:type="dxa"/>
            <w:vAlign w:val="bottom"/>
            <w:shd w:val="clear" w:color="auto" w:fill="CCEEFF"/>
          </w:tcPr>
          <w:p>
            <w:pPr>
              <w:spacing w:after="0"/>
              <w:rPr>
                <w:sz w:val="18"/>
                <w:szCs w:val="18"/>
                <w:color w:val="auto"/>
              </w:rPr>
            </w:pPr>
          </w:p>
        </w:tc>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w w:val="99"/>
              </w:rPr>
              <w:t>101.DEF*</w:t>
            </w:r>
          </w:p>
        </w:tc>
        <w:tc>
          <w:tcPr>
            <w:tcW w:w="10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0" w:type="dxa"/>
            <w:vAlign w:val="bottom"/>
            <w:shd w:val="clear" w:color="auto" w:fill="CCEEFF"/>
          </w:tcPr>
          <w:p>
            <w:pPr>
              <w:spacing w:after="0"/>
              <w:rPr>
                <w:sz w:val="18"/>
                <w:szCs w:val="18"/>
                <w:color w:val="auto"/>
              </w:rPr>
            </w:pPr>
          </w:p>
        </w:tc>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22"/>
        </w:trPr>
        <w:tc>
          <w:tcPr>
            <w:tcW w:w="800" w:type="dxa"/>
            <w:vAlign w:val="bottom"/>
            <w:gridSpan w:val="2"/>
          </w:tcPr>
          <w:p>
            <w:pPr>
              <w:spacing w:after="0"/>
              <w:rPr>
                <w:sz w:val="20"/>
                <w:szCs w:val="20"/>
                <w:color w:val="auto"/>
              </w:rPr>
            </w:pPr>
            <w:r>
              <w:rPr>
                <w:rFonts w:ascii="Arial" w:cs="Arial" w:eastAsia="Arial" w:hAnsi="Arial"/>
                <w:sz w:val="18"/>
                <w:szCs w:val="18"/>
                <w:color w:val="auto"/>
                <w:w w:val="98"/>
              </w:rPr>
              <w:t>101.PRE*</w:t>
            </w:r>
          </w:p>
        </w:tc>
        <w:tc>
          <w:tcPr>
            <w:tcW w:w="10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1" w:lineRule="exact"/>
        <w:rPr>
          <w:sz w:val="20"/>
          <w:szCs w:val="20"/>
          <w:color w:val="auto"/>
        </w:rPr>
      </w:pPr>
    </w:p>
    <w:p>
      <w:pPr>
        <w:ind w:right="10040" w:firstLine="8"/>
        <w:spacing w:after="0" w:line="331" w:lineRule="auto"/>
        <w:tabs>
          <w:tab w:leader="none" w:pos="132" w:val="left"/>
        </w:tabs>
        <w:numPr>
          <w:ilvl w:val="0"/>
          <w:numId w:val="9"/>
        </w:numPr>
        <w:rPr>
          <w:rFonts w:ascii="Arial" w:cs="Arial" w:eastAsia="Arial" w:hAnsi="Arial"/>
          <w:sz w:val="16"/>
          <w:szCs w:val="16"/>
          <w:color w:val="auto"/>
        </w:rPr>
      </w:pPr>
      <w:r>
        <w:rPr>
          <w:rFonts w:ascii="Arial" w:cs="Arial" w:eastAsia="Arial" w:hAnsi="Arial"/>
          <w:sz w:val="16"/>
          <w:szCs w:val="16"/>
          <w:color w:val="auto"/>
        </w:rPr>
        <w:t>Filed herewith. ** Furnished.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Pursuant to the requirements of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BIG ROCK PARTNERS ACQUISITION CORP.</w:t>
      </w:r>
    </w:p>
    <w:p>
      <w:pPr>
        <w:spacing w:after="0" w:line="231" w:lineRule="exact"/>
        <w:rPr>
          <w:sz w:val="20"/>
          <w:szCs w:val="20"/>
          <w:color w:val="auto"/>
        </w:rPr>
      </w:pPr>
    </w:p>
    <w:p>
      <w:pPr>
        <w:spacing w:after="0"/>
        <w:tabs>
          <w:tab w:leader="none" w:pos="5940" w:val="left"/>
          <w:tab w:leader="none" w:pos="6620" w:val="left"/>
        </w:tabs>
        <w:rPr>
          <w:sz w:val="20"/>
          <w:szCs w:val="20"/>
          <w:color w:val="auto"/>
        </w:rPr>
      </w:pPr>
      <w:r>
        <w:rPr>
          <w:rFonts w:ascii="Arial" w:cs="Arial" w:eastAsia="Arial" w:hAnsi="Arial"/>
          <w:sz w:val="18"/>
          <w:szCs w:val="18"/>
          <w:color w:val="auto"/>
        </w:rPr>
        <w:t>Date: August 14,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10795</wp:posOffset>
            </wp:positionV>
            <wp:extent cx="292290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22905" cy="17145"/>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Richard Ackerman</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Title:  Chairman, President and Chief Executive Officer</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5" w:lineRule="exact"/>
        <w:rPr>
          <w:sz w:val="20"/>
          <w:szCs w:val="20"/>
          <w:color w:val="auto"/>
        </w:rPr>
      </w:pPr>
    </w:p>
    <w:p>
      <w:pPr>
        <w:spacing w:after="0"/>
        <w:tabs>
          <w:tab w:leader="none" w:pos="5940" w:val="left"/>
          <w:tab w:leader="none" w:pos="6620" w:val="left"/>
        </w:tabs>
        <w:rPr>
          <w:sz w:val="20"/>
          <w:szCs w:val="20"/>
          <w:color w:val="auto"/>
        </w:rPr>
      </w:pPr>
      <w:r>
        <w:rPr>
          <w:rFonts w:ascii="Arial" w:cs="Arial" w:eastAsia="Arial" w:hAnsi="Arial"/>
          <w:sz w:val="18"/>
          <w:szCs w:val="18"/>
          <w:color w:val="auto"/>
        </w:rPr>
        <w:t>Date: August 14,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Bennett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10795</wp:posOffset>
            </wp:positionV>
            <wp:extent cx="292290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22905" cy="17145"/>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Bennett Kim</w:t>
      </w:r>
    </w:p>
    <w:p>
      <w:pPr>
        <w:spacing w:after="0" w:line="15" w:lineRule="exact"/>
        <w:rPr>
          <w:sz w:val="20"/>
          <w:szCs w:val="20"/>
          <w:color w:val="auto"/>
        </w:rPr>
      </w:pPr>
    </w:p>
    <w:p>
      <w:pPr>
        <w:ind w:left="6640"/>
        <w:spacing w:after="0"/>
        <w:tabs>
          <w:tab w:leader="none" w:pos="7240" w:val="left"/>
        </w:tabs>
        <w:rPr>
          <w:sz w:val="20"/>
          <w:szCs w:val="20"/>
          <w:color w:val="auto"/>
        </w:rPr>
      </w:pPr>
      <w:r>
        <w:rPr>
          <w:rFonts w:ascii="Arial" w:cs="Arial" w:eastAsia="Arial" w:hAnsi="Arial"/>
          <w:sz w:val="16"/>
          <w:szCs w:val="16"/>
          <w:color w:val="auto"/>
        </w:rPr>
        <w:t>Title:</w:t>
        <w:tab/>
        <w:t>Chief Financial Officer, Chief Investment Officer and</w:t>
      </w:r>
    </w:p>
    <w:p>
      <w:pPr>
        <w:spacing w:after="0" w:line="32"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Richard Ackerman, certify that:</w:t>
      </w:r>
    </w:p>
    <w:p>
      <w:pPr>
        <w:spacing w:after="0" w:line="22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Big Rock Partners Acquisition Corp.;</w:t>
      </w:r>
    </w:p>
    <w:p>
      <w:pPr>
        <w:spacing w:after="0" w:line="225" w:lineRule="exact"/>
        <w:rPr>
          <w:rFonts w:ascii="Arial" w:cs="Arial" w:eastAsia="Arial" w:hAnsi="Arial"/>
          <w:sz w:val="18"/>
          <w:szCs w:val="18"/>
          <w:color w:val="auto"/>
        </w:rPr>
      </w:pPr>
    </w:p>
    <w:p>
      <w:pPr>
        <w:ind w:left="340" w:hanging="332"/>
        <w:spacing w:after="0" w:line="331"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6"/>
          <w:szCs w:val="16"/>
          <w:color w:val="auto"/>
        </w:rPr>
      </w:pPr>
    </w:p>
    <w:p>
      <w:pPr>
        <w:ind w:left="340" w:hanging="332"/>
        <w:spacing w:after="0" w:line="268"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sz w:val="20"/>
          <w:szCs w:val="20"/>
          <w:color w:val="auto"/>
        </w:rPr>
      </w:pPr>
    </w:p>
    <w:p>
      <w:pPr>
        <w:jc w:val="both"/>
        <w:ind w:left="240" w:hanging="232"/>
        <w:spacing w:after="0" w:line="259" w:lineRule="auto"/>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Arial" w:cs="Arial" w:eastAsia="Arial" w:hAnsi="Arial"/>
          <w:sz w:val="18"/>
          <w:szCs w:val="18"/>
          <w:color w:val="auto"/>
        </w:rPr>
      </w:pPr>
    </w:p>
    <w:p>
      <w:pPr>
        <w:jc w:val="both"/>
        <w:ind w:left="240" w:hanging="232"/>
        <w:spacing w:after="0" w:line="259" w:lineRule="auto"/>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18"/>
          <w:szCs w:val="18"/>
          <w:color w:val="auto"/>
        </w:rPr>
      </w:pPr>
    </w:p>
    <w:p>
      <w:pPr>
        <w:jc w:val="both"/>
        <w:ind w:left="240" w:hanging="232"/>
        <w:spacing w:after="0" w:line="259" w:lineRule="auto"/>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sz w:val="20"/>
          <w:szCs w:val="20"/>
          <w:color w:val="auto"/>
        </w:rPr>
      </w:pPr>
    </w:p>
    <w:p>
      <w:pPr>
        <w:ind w:left="340" w:hanging="332"/>
        <w:spacing w:after="0" w:line="331"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1" w:lineRule="exact"/>
        <w:rPr>
          <w:sz w:val="20"/>
          <w:szCs w:val="20"/>
          <w:color w:val="auto"/>
        </w:rPr>
      </w:pPr>
    </w:p>
    <w:p>
      <w:pPr>
        <w:ind w:left="240" w:hanging="232"/>
        <w:spacing w:after="0" w:line="268" w:lineRule="auto"/>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spacing w:after="0"/>
        <w:tabs>
          <w:tab w:leader="none" w:pos="6180" w:val="left"/>
          <w:tab w:leader="none" w:pos="6840" w:val="left"/>
        </w:tabs>
        <w:rPr>
          <w:sz w:val="20"/>
          <w:szCs w:val="20"/>
          <w:color w:val="auto"/>
        </w:rPr>
      </w:pPr>
      <w:r>
        <w:rPr>
          <w:rFonts w:ascii="Arial" w:cs="Arial" w:eastAsia="Arial" w:hAnsi="Arial"/>
          <w:sz w:val="18"/>
          <w:szCs w:val="18"/>
          <w:color w:val="auto"/>
        </w:rPr>
        <w:t>Date: August 14,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10795</wp:posOffset>
            </wp:positionV>
            <wp:extent cx="27774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7749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Richard Ackerman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Chairman, 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Bennett Kim, certify that:</w:t>
      </w:r>
    </w:p>
    <w:p>
      <w:pPr>
        <w:spacing w:after="0" w:line="225"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Big Rock Partners Acquisition Corp.;</w:t>
      </w:r>
    </w:p>
    <w:p>
      <w:pPr>
        <w:spacing w:after="0" w:line="225" w:lineRule="exact"/>
        <w:rPr>
          <w:rFonts w:ascii="Arial" w:cs="Arial" w:eastAsia="Arial" w:hAnsi="Arial"/>
          <w:sz w:val="18"/>
          <w:szCs w:val="18"/>
          <w:color w:val="auto"/>
        </w:rPr>
      </w:pPr>
    </w:p>
    <w:p>
      <w:pPr>
        <w:ind w:left="340" w:hanging="332"/>
        <w:spacing w:after="0" w:line="331"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6"/>
          <w:szCs w:val="16"/>
          <w:color w:val="auto"/>
        </w:rPr>
      </w:pPr>
    </w:p>
    <w:p>
      <w:pPr>
        <w:ind w:left="340" w:hanging="332"/>
        <w:spacing w:after="0" w:line="268"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sz w:val="20"/>
          <w:szCs w:val="20"/>
          <w:color w:val="auto"/>
        </w:rPr>
      </w:pPr>
    </w:p>
    <w:p>
      <w:pPr>
        <w:jc w:val="both"/>
        <w:ind w:left="240" w:hanging="232"/>
        <w:spacing w:after="0" w:line="259" w:lineRule="auto"/>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Arial" w:cs="Arial" w:eastAsia="Arial" w:hAnsi="Arial"/>
          <w:sz w:val="18"/>
          <w:szCs w:val="18"/>
          <w:color w:val="auto"/>
        </w:rPr>
      </w:pPr>
    </w:p>
    <w:p>
      <w:pPr>
        <w:jc w:val="both"/>
        <w:ind w:left="240" w:hanging="232"/>
        <w:spacing w:after="0" w:line="259" w:lineRule="auto"/>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18"/>
          <w:szCs w:val="18"/>
          <w:color w:val="auto"/>
        </w:rPr>
      </w:pPr>
    </w:p>
    <w:p>
      <w:pPr>
        <w:jc w:val="both"/>
        <w:ind w:left="240" w:hanging="232"/>
        <w:spacing w:after="0" w:line="259" w:lineRule="auto"/>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sz w:val="20"/>
          <w:szCs w:val="20"/>
          <w:color w:val="auto"/>
        </w:rPr>
      </w:pPr>
    </w:p>
    <w:p>
      <w:pPr>
        <w:ind w:left="340" w:hanging="332"/>
        <w:spacing w:after="0" w:line="331"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1" w:lineRule="exact"/>
        <w:rPr>
          <w:sz w:val="20"/>
          <w:szCs w:val="20"/>
          <w:color w:val="auto"/>
        </w:rPr>
      </w:pPr>
    </w:p>
    <w:p>
      <w:pPr>
        <w:ind w:left="240" w:hanging="232"/>
        <w:spacing w:after="0" w:line="268" w:lineRule="auto"/>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spacing w:after="0"/>
        <w:tabs>
          <w:tab w:leader="none" w:pos="6180" w:val="left"/>
          <w:tab w:leader="none" w:pos="6740" w:val="left"/>
        </w:tabs>
        <w:rPr>
          <w:sz w:val="20"/>
          <w:szCs w:val="20"/>
          <w:color w:val="auto"/>
        </w:rPr>
      </w:pPr>
      <w:r>
        <w:rPr>
          <w:rFonts w:ascii="Arial" w:cs="Arial" w:eastAsia="Arial" w:hAnsi="Arial"/>
          <w:sz w:val="18"/>
          <w:szCs w:val="18"/>
          <w:color w:val="auto"/>
        </w:rPr>
        <w:t>Date: August 14,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Bennett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10795</wp:posOffset>
            </wp:positionV>
            <wp:extent cx="28460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Bennett Kim</w:t>
      </w:r>
    </w:p>
    <w:p>
      <w:pPr>
        <w:spacing w:after="0" w:line="15" w:lineRule="exact"/>
        <w:rPr>
          <w:sz w:val="20"/>
          <w:szCs w:val="20"/>
          <w:color w:val="auto"/>
        </w:rPr>
      </w:pPr>
    </w:p>
    <w:p>
      <w:pPr>
        <w:ind w:left="6760"/>
        <w:spacing w:after="0"/>
        <w:tabs>
          <w:tab w:leader="none" w:pos="7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Chief Investment Officer and</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1198880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connection with the accompanying Quarterly Report on Form 10-Q of Big Rock Partners Acquisition Corp. (the “Company”) for the quarterly period ended June 30, 2020, as filed with the Securities and Exchange Commission (the “Report”), the undersigned hereby certifies pursuant to 18 U.S.C. Section 1350, as adopted pursuant to Section 906 of the Sarbanes-Oxley Act of 2002, to my knowledge and belief, that:</w:t>
      </w:r>
    </w:p>
    <w:p>
      <w:pPr>
        <w:spacing w:after="0" w:line="160" w:lineRule="exact"/>
        <w:rPr>
          <w:sz w:val="20"/>
          <w:szCs w:val="20"/>
          <w:color w:val="auto"/>
        </w:rPr>
      </w:pPr>
    </w:p>
    <w:p>
      <w:pPr>
        <w:ind w:left="240" w:hanging="232"/>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6120" w:val="left"/>
          <w:tab w:leader="none" w:pos="6680" w:val="left"/>
        </w:tabs>
        <w:rPr>
          <w:sz w:val="20"/>
          <w:szCs w:val="20"/>
          <w:color w:val="auto"/>
        </w:rPr>
      </w:pPr>
      <w:r>
        <w:rPr>
          <w:rFonts w:ascii="Arial" w:cs="Arial" w:eastAsia="Arial" w:hAnsi="Arial"/>
          <w:sz w:val="18"/>
          <w:szCs w:val="18"/>
          <w:color w:val="auto"/>
        </w:rPr>
        <w:t>Dated: August 14,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10795</wp:posOffset>
            </wp:positionV>
            <wp:extent cx="28886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88615" cy="17145"/>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Richard Ackerman</w:t>
      </w:r>
    </w:p>
    <w:p>
      <w:pPr>
        <w:spacing w:after="0" w:line="1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924560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connection with the accompanying Quarterly Report on Form 10-Q of Big Rock Partners Acquisition Corp. (the “Company”) for the quarterly period ended June 30, 2020, as filed with the Securities and Exchange Commission (the “Report”), the undersigned hereby certifies pursuant to 18 U.S.C. Section 1350, as adopted pursuant to Section 906 of the Sarbanes-Oxley Act of 2002, to my knowledge and belief, that:</w:t>
      </w:r>
    </w:p>
    <w:p>
      <w:pPr>
        <w:spacing w:after="0" w:line="160" w:lineRule="exact"/>
        <w:rPr>
          <w:sz w:val="20"/>
          <w:szCs w:val="20"/>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6400" w:val="left"/>
          <w:tab w:leader="none" w:pos="6960" w:val="left"/>
        </w:tabs>
        <w:rPr>
          <w:sz w:val="20"/>
          <w:szCs w:val="20"/>
          <w:color w:val="auto"/>
        </w:rPr>
      </w:pPr>
      <w:r>
        <w:rPr>
          <w:rFonts w:ascii="Arial" w:cs="Arial" w:eastAsia="Arial" w:hAnsi="Arial"/>
          <w:sz w:val="18"/>
          <w:szCs w:val="18"/>
          <w:color w:val="auto"/>
        </w:rPr>
        <w:t>Dated: August 14,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Bennett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10795</wp:posOffset>
            </wp:positionV>
            <wp:extent cx="270891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Bennett Kim</w:t>
      </w:r>
    </w:p>
    <w:p>
      <w:pPr>
        <w:spacing w:after="0" w:line="15"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Chief  Financial  Officer,  Chief  Investment  Officer  and</w:t>
      </w:r>
    </w:p>
    <w:p>
      <w:pPr>
        <w:spacing w:after="0" w:line="3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1061720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lowerLetter"/>
      <w:start w:val="2"/>
    </w:lvl>
  </w:abstractNum>
  <w:abstractNum w:abstractNumId="5">
    <w:nsid w:val="140E0F76"/>
    <w:multiLevelType w:val="hybridMultilevel"/>
    <w:lvl w:ilvl="0">
      <w:lvlJc w:val="left"/>
      <w:lvlText w:val="%1."/>
      <w:numFmt w:val="decimal"/>
      <w:start w:val="2"/>
    </w:lvl>
  </w:abstractNum>
  <w:abstractNum w:abstractNumId="6">
    <w:nsid w:val="3352255A"/>
    <w:multiLevelType w:val="hybridMultilevel"/>
    <w:lvl w:ilvl="0">
      <w:lvlJc w:val="left"/>
      <w:lvlText w:val="%1."/>
      <w:numFmt w:val="decimal"/>
      <w:start w:val="5"/>
    </w:lvl>
  </w:abstractNum>
  <w:abstractNum w:abstractNumId="7">
    <w:nsid w:val="109CF92E"/>
    <w:multiLevelType w:val="hybridMultilevel"/>
    <w:lvl w:ilvl="0">
      <w:lvlJc w:val="left"/>
      <w:lvlText w:val="%1."/>
      <w:numFmt w:val="decimal"/>
      <w:start w:val="7"/>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1."/>
      <w:numFmt w:val="decimal"/>
      <w:start w:val="5"/>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decimal"/>
      <w:start w:val="5"/>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2020-08-14T15:53:06Z</dcterms:created>
  <dcterms:modified xsi:type="dcterms:W3CDTF">2020-08-14T15:53:06Z</dcterms:modified>
</cp:coreProperties>
</file>